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18. Shell Jugendstudie</w:t>
      </w:r>
    </w:p>
    <w:p>
      <w:pPr>
        <w:pStyle w:val="Title"/>
      </w:pPr>
      <w:r>
        <w:t>Engl. transl.: 18. Shell Youth Study</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Pre-adolescents (11-13 Years old)</w:t>
      </w:r>
    </w:p>
    <w:p>
      <w:pPr>
        <w:pStyle w:val="Heading2"/>
      </w:pPr>
      <w:bookmarkStart w:id="9" w:name="_Toc11"/>
      <w:r>
        <w:t>Funder</w:t>
      </w:r>
      <w:bookmarkEnd w:id="9"/>
    </w:p>
    <w:p>
      <w:pPr/>
      <w:r>
        <w:rPr/>
        <w:t xml:space="preserve">Deutsche Shell Holding GmbH</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https://www.shell.de/ueber-uns/shell-jugendstudie.html</w:t>
      </w:r>
    </w:p>
    <w:p>
      <w:pPr>
        <w:pStyle w:val="Heading1"/>
      </w:pPr>
      <w:bookmarkStart w:id="14" w:name="_Toc16"/>
      <w:r>
        <w:t>Goals</w:t>
      </w:r>
      <w:bookmarkEnd w:id="14"/>
    </w:p>
    <w:p>
      <w:pPr/>
      <w:r>
        <w:rPr/>
        <w:t xml:space="preserve">"Ever since 1953, Shell has commissioned independent scientists and institutes to conduct studies to document the views, moods and expectations of young people in Germany. The Shell Youth Study traces how young people deal with challenges and the behaviours, attitudes and mentalities they develop in the process. The 18th Shell Youth Study (October 2019) also examines the political and social conditions under which young people are growing up today. The study thus not only presents a view of today's youth but also provides socio-political food for thought." 
(Albert, Hurrelmann, Quenzel 2019, n. P.) [URL: https://www.shell.de/ueber-uns/shell-jugendstudie/_jcr_content/par/toptasks.stream/1570810209742/9ff5b72cc4a915b9a6e7a7a7b6fdc653cebd4576/shell-youth-study-2019-flyer-de.pdf]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435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2025-10-22T13:42:08+00:00</dcterms:created>
  <dcterms:modified xsi:type="dcterms:W3CDTF">2025-10-22T13:42:08+00:00</dcterms:modified>
</cp:coreProperties>
</file>

<file path=docProps/custom.xml><?xml version="1.0" encoding="utf-8"?>
<Properties xmlns="http://schemas.openxmlformats.org/officeDocument/2006/custom-properties" xmlns:vt="http://schemas.openxmlformats.org/officeDocument/2006/docPropsVTypes"/>
</file>