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MoFam II – Mobile Medien in der Familie: Teilstudie „Digitale Medien und Internet im Kindesalter – Fokus Kinderkrippen“</w:t>
      </w:r>
    </w:p>
    <w:p>
      <w:pPr>
        <w:pStyle w:val="Title"/>
      </w:pPr>
      <w:r>
        <w:t>Engl. transl.: MoFam II – Mobile Media within the Family: Sub-study "Digital media and the Internet in Childhood – Focus on Nurseries"</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Ethnography / participant observation</w:t>
      </w:r>
    </w:p>
    <w:p>
      <w:pPr>
        <w:numPr>
          <w:ilvl w:val="0"/>
          <w:numId w:val="5"/>
        </w:numPr>
      </w:pPr>
      <w:r>
        <w:rPr/>
        <w:t xml:space="preserve">Focus group</w:t>
      </w:r>
    </w:p>
    <w:p>
      <w:pPr>
        <w:numPr>
          <w:ilvl w:val="0"/>
          <w:numId w:val="5"/>
        </w:numPr>
      </w:pPr>
      <w:r>
        <w:rPr/>
        <w:t xml:space="preserve">Interview</w:t>
      </w:r>
    </w:p>
    <w:p>
      <w:pPr>
        <w:numPr>
          <w:ilvl w:val="0"/>
          <w:numId w:val="5"/>
        </w:numPr>
      </w:pPr>
      <w:r>
        <w:rPr/>
        <w:t xml:space="preserve">Other</w:t>
      </w:r>
    </w:p>
    <w:p>
      <w:pPr>
        <w:pStyle w:val="Heading2"/>
      </w:pPr>
      <w:bookmarkStart w:id="7" w:name="_Toc9"/>
      <w:r>
        <w:t>Other Methodology</w:t>
      </w:r>
      <w:bookmarkEnd w:id="7"/>
    </w:p>
    <w:p>
      <w:pPr/>
      <w:r>
        <w:rPr/>
        <w:t xml:space="preserve">Workshop</w:t>
      </w:r>
    </w:p>
    <w:p>
      <w:pPr>
        <w:pStyle w:val="Heading2"/>
      </w:pPr>
      <w:bookmarkStart w:id="8" w:name="_Toc10"/>
      <w:r>
        <w:t>Researched Groups</w:t>
      </w:r>
      <w:bookmarkEnd w:id="8"/>
    </w:p>
    <w:p>
      <w:pPr/>
      <w:r>
        <w:rPr/>
        <w:t xml:space="preserve">Teachers / Educators</w:t>
      </w:r>
    </w:p>
    <w:p>
      <w:pPr>
        <w:pStyle w:val="Heading2"/>
      </w:pPr>
      <w:bookmarkStart w:id="9" w:name="_Toc11"/>
      <w:r>
        <w:t>Children Ages</w:t>
      </w:r>
      <w:bookmarkEnd w:id="9"/>
    </w:p>
    <w:p>
      <w:pPr/>
      <w:r>
        <w:rPr/>
        <w:t xml:space="preserve">Preschool (0-5 Years old)</w:t>
      </w:r>
    </w:p>
    <w:p>
      <w:pPr>
        <w:pStyle w:val="Heading2"/>
      </w:pPr>
      <w:bookmarkStart w:id="10" w:name="_Toc12"/>
      <w:r>
        <w:t>Funder</w:t>
      </w:r>
      <w:bookmarkEnd w:id="10"/>
    </w:p>
    <w:p>
      <w:pPr/>
      <w:r>
        <w:rPr/>
        <w:t xml:space="preserve">Bayerisches Staatsministerium für Familie, Arbeit und Soziales (StMAS)</w:t>
      </w:r>
    </w:p>
    <w:p>
      <w:pPr>
        <w:pStyle w:val="Heading2"/>
      </w:pPr>
      <w:bookmarkStart w:id="11" w:name="_Toc13"/>
      <w:r>
        <w:t>Funder Types</w:t>
      </w:r>
      <w:bookmarkEnd w:id="11"/>
    </w:p>
    <w:p>
      <w:pPr/>
      <w:r>
        <w:rPr/>
        <w:t xml:space="preserve">Regional Government</w:t>
      </w:r>
    </w:p>
    <w:p>
      <w:pPr>
        <w:pStyle w:val="Heading2"/>
      </w:pPr>
      <w:bookmarkStart w:id="12" w:name="_Toc14"/>
      <w:r>
        <w:t>Informed Consent</w:t>
      </w:r>
      <w:bookmarkEnd w:id="12"/>
    </w:p>
    <w:p>
      <w:pPr/>
      <w:r>
        <w:rPr/>
        <w:t xml:space="preserve">Consent not mentioned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https://www.jff.de/veroeffentlichungen/detail/digitale-medien-in-kinderkrippen0/</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"The study aims to obtain knowledge about the importance of digital media for children between zero and three years of age, a target group that has been sparsely researched so far, especially in the context of nurseries. The focus is on fundamental questions about the use of media in pedagogical work with young children, the most practical training and support for professionals, as well as the role of parents and the challenge of parent information and counselling. The support needs of the pedagogical staff are also of central interest." (Koschei et al. 2020, 12)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3E1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2025-10-31T16:43:21+00:00</dcterms:created>
  <dcterms:modified xsi:type="dcterms:W3CDTF">2025-10-31T16:43:21+00:00</dcterms:modified>
</cp:coreProperties>
</file>

<file path=docProps/custom.xml><?xml version="1.0" encoding="utf-8"?>
<Properties xmlns="http://schemas.openxmlformats.org/officeDocument/2006/custom-properties" xmlns:vt="http://schemas.openxmlformats.org/officeDocument/2006/docPropsVTypes"/>
</file>