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Youth Equity + STEM (YESTEM)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2021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Multinational</w:t>
      </w:r>
    </w:p>
    <w:p>
      <w:pPr>
        <w:pStyle w:val="Heading2"/>
      </w:pPr>
      <w:bookmarkStart w:id="4" w:name="_Toc5"/>
      <w:r>
        <w:t>Countries</w:t>
      </w:r>
      <w:bookmarkEnd w:id="4"/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Mixed methods</w:t>
      </w:r>
    </w:p>
    <w:p>
      <w:pPr>
        <w:pStyle w:val="Heading2"/>
      </w:pPr>
      <w:bookmarkStart w:id="6" w:name="_Toc7"/>
      <w:r>
        <w:t>Methodologies</w:t>
      </w:r>
      <w:bookmarkEnd w:id="6"/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Children Ages</w:t>
      </w:r>
      <w:bookmarkEnd w:id="8"/>
    </w:p>
    <w:p>
      <w:pPr>
        <w:pStyle w:val="Heading2"/>
      </w:pPr>
      <w:bookmarkStart w:id="9" w:name="_Toc10"/>
      <w:r>
        <w:t>Funder</w:t>
      </w:r>
      <w:bookmarkEnd w:id="9"/>
    </w:p>
    <w:p>
      <w:pPr/>
      <w:r>
        <w:rPr/>
        <w:t xml:space="preserve">National Science Foundation (NSF), Wellcome Trust and the Economic and Social Research Council (ESRC)</w:t>
      </w:r>
    </w:p>
    <w:p>
      <w:pPr>
        <w:pStyle w:val="Heading2"/>
      </w:pPr>
      <w:bookmarkStart w:id="10" w:name="_Toc11"/>
      <w:r>
        <w:t>Funder Types</w:t>
      </w:r>
      <w:bookmarkEnd w:id="10"/>
    </w:p>
    <w:p>
      <w:pPr/>
      <w:r>
        <w:rPr/>
        <w:t xml:space="preserve">National Research Council</w:t>
      </w:r>
    </w:p>
    <w:p>
      <w:pPr>
        <w:pStyle w:val="Heading2"/>
      </w:pPr>
      <w:bookmarkStart w:id="11" w:name="_Toc12"/>
      <w:r>
        <w:t>Informed Consent</w:t>
      </w:r>
      <w:bookmarkEnd w:id="11"/>
    </w:p>
    <w:p>
      <w:pPr/>
      <w:r>
        <w:rPr/>
        <w:t xml:space="preserve">Consent not mentioned</w:t>
      </w:r>
    </w:p>
    <w:p>
      <w:pPr>
        <w:pStyle w:val="Heading2"/>
      </w:pPr>
      <w:bookmarkStart w:id="12" w:name="_Toc13"/>
      <w:r>
        <w:t>URL</w:t>
      </w:r>
      <w:bookmarkEnd w:id="12"/>
    </w:p>
    <w:p>
      <w:pPr/>
      <w:r>
        <w:rPr/>
        <w:t xml:space="preserve">https://www.ucl.ac.uk/ioe/departments-and-centres/departments/education-practice-and-society/youth-equity-stem</w:t>
      </w:r>
    </w:p>
    <w:p>
      <w:pPr>
        <w:pStyle w:val="Heading2"/>
      </w:pPr>
      <w:bookmarkStart w:id="13" w:name="_Toc14"/>
      <w:r>
        <w:t>Data Set Availability</w:t>
      </w:r>
      <w:bookmarkEnd w:id="13"/>
    </w:p>
    <w:p>
      <w:pPr/>
      <w:r>
        <w:rPr/>
        <w:t xml:space="preserve">Not mentioned</w:t>
      </w:r>
    </w:p>
    <w:p>
      <w:pPr>
        <w:pStyle w:val="Heading1"/>
      </w:pPr>
      <w:bookmarkStart w:id="14" w:name="_Toc15"/>
      <w:r>
        <w:t>Goals</w:t>
      </w:r>
      <w:bookmarkEnd w:id="14"/>
    </w:p>
    <w:p>
      <w:pPr/>
      <w:r>
        <w:rPr/>
        <w:t xml:space="preserve">To understand young people’s engagement with informal STEM learning and explore equitable practices within this space.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26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2025-10-26T12:54:51+00:00</dcterms:created>
  <dcterms:modified xsi:type="dcterms:W3CDTF">2025-10-26T12:54:51+00:00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