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Učestalost i oblici elektroničkog zlostavljanja učenika viših razreda osnovnoškolske dobi u tri različite školske sredine</w:t>
      </w:r>
    </w:p>
    <w:p>
      <w:pPr>
        <w:pStyle w:val="Title"/>
      </w:pPr>
      <w:r>
        <w:t>Engl. transl.: Incidence and types of electronic abuse of students higher elementary grades in three different school environments</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12-15 years old</w:t>
      </w:r>
    </w:p>
    <w:p>
      <w:pPr>
        <w:pStyle w:val="Heading2"/>
      </w:pPr>
      <w:bookmarkStart w:id="10" w:name="_Toc12"/>
      <w:r>
        <w:t>Consents</w:t>
      </w:r>
      <w:bookmarkEnd w:id="10"/>
    </w:p>
    <w:p>
      <w:pPr/>
      <w:r>
        <w:rPr/>
        <w:t xml:space="preserve">Other</w:t>
      </w:r>
    </w:p>
    <w:p>
      <w:pPr>
        <w:pStyle w:val="Heading2"/>
      </w:pPr>
      <w:bookmarkStart w:id="11" w:name="_Toc13"/>
      <w:r>
        <w:t>Ethics</w:t>
      </w:r>
      <w:bookmarkEnd w:id="11"/>
    </w:p>
    <w:p>
      <w:pPr/>
      <w:r>
        <w:rPr/>
        <w:t xml:space="preserve">Ethical considerations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aim of the research was to determine the frequency and forms of cyberbullying in students of upper grades of primary school in three different socio-demographic environments: urban, suburban and rural. The starting hypotheses are: since schools are specific in their environment, number of students, number of district schools and other relevant sociodemographic factors, it is to be assumed that the frequency and different forms of cyberbullying will be unequally represented in each school environment. Based on the findings from the literature, a higher frequency of cyberbullying in urban areas is expected, with the increase in the age of students and the spending of a larger amount of time in the use of modern technologies." Nikčević-Milković et al, 2016, 81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2025-10-15T02:01:18+00:00</dcterms:created>
  <dcterms:modified xsi:type="dcterms:W3CDTF">2025-10-15T02:01:18+00:00</dcterms:modified>
</cp:coreProperties>
</file>

<file path=docProps/custom.xml><?xml version="1.0" encoding="utf-8"?>
<Properties xmlns="http://schemas.openxmlformats.org/officeDocument/2006/custom-properties" xmlns:vt="http://schemas.openxmlformats.org/officeDocument/2006/docPropsVTypes"/>
</file>