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České  děti  v  kybersvětě</w:t>
      </w:r>
    </w:p>
    <w:p>
      <w:pPr>
        <w:pStyle w:val="Title"/>
      </w:pPr>
      <w:r>
        <w:t>Engl. transl.: Czech children in the cyberworld</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O2 Czech Republic</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https://www.e-bezpeci.cz/index.php/veda-a-vyzkum/ceske-deti-v-kybersvete-2019</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on-line world where children spend a huge amount of their free time is a great unknown for many parents and teachers. We have set on a quest into this world on behalf of them, in order to discover what children do in the on-line world, what risks and threats they face there, what video production they are interested in, but also whether they could have fallen victim to on-line fraud. A separate part of the Czech children in the cyberworld research focuses on using mobile phones by children in the school environment. We were particularly interested in finding out how children spend their break time with (or without) mobile phones, what they do with their phones, whether mobiles can be misused in school and whether it actually happens, how many children have restricted access to mobile phones in school and how it is done. 
The Czech  children  in  the  cyberworldresearch  has  been  conducted  by  the  Centre  for  the Prevention of Risky Virtual Communication at the Faculty of Education of Palacký University Olomouc, in  cooperation with  O2  Czech Republic.  It  builds  upon  research  projects  on  risky behaviour  of  children  and  adults  in  on-line  environment,  completed  by  the  same  team  in 2015-2018, and particularly upon the following studies: The risks of Internet communication IV(2014)   and Sexting   and   risk   behaviour   of   Czech   Kids   in   Cyberspace(2017), complementing these with new findings, unique in the Czech Republic.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76F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2025-10-31T16:28:12+00:00</dcterms:created>
  <dcterms:modified xsi:type="dcterms:W3CDTF">2025-10-31T16:28:12+00:00</dcterms:modified>
</cp:coreProperties>
</file>

<file path=docProps/custom.xml><?xml version="1.0" encoding="utf-8"?>
<Properties xmlns="http://schemas.openxmlformats.org/officeDocument/2006/custom-properties" xmlns:vt="http://schemas.openxmlformats.org/officeDocument/2006/docPropsVTypes"/>
</file>