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Teenagers’ use of the Internet for pain management advice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2012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Local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United Kingdom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Qualitative</w:t>
      </w:r>
    </w:p>
    <w:p>
      <w:pPr>
        <w:pStyle w:val="Heading2"/>
      </w:pPr>
      <w:bookmarkStart w:id="6" w:name="_Toc7"/>
      <w:r>
        <w:t>Methodologies</w:t>
      </w:r>
      <w:bookmarkEnd w:id="6"/>
    </w:p>
    <w:p>
      <w:pPr/>
      <w:r>
        <w:rPr/>
        <w:t xml:space="preserve">Focus group</w:t>
      </w:r>
    </w:p>
    <w:p>
      <w:pPr>
        <w:pStyle w:val="Heading2"/>
      </w:pPr>
      <w:bookmarkStart w:id="7" w:name="_Toc8"/>
      <w:r>
        <w:t>Researched Groups</w:t>
      </w:r>
      <w:bookmarkEnd w:id="7"/>
    </w:p>
    <w:p>
      <w:pPr/>
      <w:r>
        <w:rPr/>
        <w:t xml:space="preserve">Children</w:t>
      </w:r>
    </w:p>
    <w:p>
      <w:pPr>
        <w:pStyle w:val="Heading2"/>
      </w:pPr>
      <w:bookmarkStart w:id="8" w:name="_Toc9"/>
      <w:r>
        <w:t>Children Ages</w:t>
      </w:r>
      <w:bookmarkEnd w:id="8"/>
    </w:p>
    <w:p>
      <w:pPr/>
      <w:r>
        <w:rPr/>
        <w:t xml:space="preserve">Adolescents (14-18 Years old)</w:t>
      </w:r>
    </w:p>
    <w:p>
      <w:pPr>
        <w:pStyle w:val="Heading2"/>
      </w:pPr>
      <w:bookmarkStart w:id="9" w:name="_Toc10"/>
      <w:r>
        <w:t>Funder</w:t>
      </w:r>
      <w:bookmarkEnd w:id="9"/>
    </w:p>
    <w:p>
      <w:pPr/>
      <w:r>
        <w:rPr/>
        <w:t xml:space="preserve">N/A</w:t>
      </w:r>
    </w:p>
    <w:p>
      <w:pPr>
        <w:pStyle w:val="Heading2"/>
      </w:pPr>
      <w:bookmarkStart w:id="10" w:name="_Toc11"/>
      <w:r>
        <w:t>Has Formal Ethical Clearance</w:t>
      </w:r>
      <w:bookmarkEnd w:id="10"/>
    </w:p>
    <w:p>
      <w:pPr>
        <w:pStyle w:val="Heading2"/>
      </w:pPr>
      <w:bookmarkStart w:id="11" w:name="_Toc12"/>
      <w:r>
        <w:t>Informed Consent</w:t>
      </w:r>
      <w:bookmarkEnd w:id="11"/>
    </w:p>
    <w:p>
      <w:pPr/>
      <w:r>
        <w:rPr/>
        <w:t xml:space="preserve">Consent not mentioned</w:t>
      </w:r>
    </w:p>
    <w:p>
      <w:pPr>
        <w:pStyle w:val="Heading2"/>
      </w:pPr>
      <w:bookmarkStart w:id="12" w:name="_Toc13"/>
      <w:r>
        <w:t>Data Set Availability</w:t>
      </w:r>
      <w:bookmarkEnd w:id="12"/>
    </w:p>
    <w:p>
      <w:pPr/>
      <w:r>
        <w:rPr/>
        <w:t xml:space="preserve">Not mentioned</w:t>
      </w:r>
    </w:p>
    <w:p>
      <w:pPr>
        <w:pStyle w:val="Heading1"/>
      </w:pPr>
      <w:bookmarkStart w:id="13" w:name="_Toc14"/>
      <w:r>
        <w:t>Goals</w:t>
      </w:r>
      <w:bookmarkEnd w:id="13"/>
    </w:p>
    <w:p>
      <w:pPr/>
      <w:r>
        <w:rPr/>
        <w:t xml:space="preserve">To investigate adolescents who self-select as infrequent users of the Internet for health and pain information and their perceptions of online information and support for health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2025-04-07T01:28:53+00:00</dcterms:created>
  <dcterms:modified xsi:type="dcterms:W3CDTF">2025-04-07T01:28:53+00:00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