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Primjena informacijske i komunikacijske tehnologije u odgojno-obrazovnom sustavu kao polazište nastavi usmjerenoj na učenika u osnovnim i srednjim školama</w:t>
      </w:r>
    </w:p>
    <w:p>
      <w:pPr>
        <w:pStyle w:val="Title"/>
      </w:pPr>
      <w:r>
        <w:t>Engl. transl.: Implementation of information and communication technology in educational system as a starting point for student-centered teaching in elementary schools and high schools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11-19 years old</w:t>
      </w:r>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aim of this broader analysis of information and media literacy of students in the educational process is to determine how familiar students are with information and media literacy in the educational system and possible differences in outcomes with respect to student's age." Mlinarević et al, 2015, 55
The goal is to determine the degree of studen'ts information literacy with the presumption they use ICT to search for information, but also to evaluate and critically think about information they gather.  The goal is also to determine the role of professional librarians and teachers in improving the information and media literacy of students in educational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2025-10-22T18:19:24+00:00</dcterms:created>
  <dcterms:modified xsi:type="dcterms:W3CDTF">2025-10-22T18:19:24+00:00</dcterms:modified>
</cp:coreProperties>
</file>

<file path=docProps/custom.xml><?xml version="1.0" encoding="utf-8"?>
<Properties xmlns="http://schemas.openxmlformats.org/officeDocument/2006/custom-properties" xmlns:vt="http://schemas.openxmlformats.org/officeDocument/2006/docPropsVTypes"/>
</file>