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Ovisnost adolescenata o internetu</w:t>
      </w:r>
    </w:p>
    <w:p>
      <w:pPr>
        <w:pStyle w:val="Title"/>
      </w:pPr>
      <w:r>
        <w:t>Engl. transl.: Adolescent addiction to the Internet</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11-18 years old</w:t>
      </w:r>
    </w:p>
    <w:p>
      <w:pPr>
        <w:pStyle w:val="Heading2"/>
      </w:pPr>
      <w:bookmarkStart w:id="10" w:name="_Toc12"/>
      <w:r>
        <w:t>Informed Consent</w:t>
      </w:r>
      <w:bookmarkEnd w:id="10"/>
    </w:p>
    <w:p>
      <w:pPr/>
      <w:r>
        <w:rPr/>
        <w:t xml:space="preserve">Consent not mentioned</w:t>
      </w:r>
    </w:p>
    <w:p>
      <w:pPr>
        <w:pStyle w:val="Heading2"/>
      </w:pPr>
      <w:bookmarkStart w:id="11" w:name="_Toc13"/>
      <w:r>
        <w:t>Ethics</w:t>
      </w:r>
      <w:bookmarkEnd w:id="11"/>
    </w:p>
    <w:p>
      <w:pPr/>
      <w:r>
        <w:rPr/>
        <w:t xml:space="preserve">Ethical issues flagged in the paper</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aim of the research was to determine the existence of a difference between ethical and moral norms of receiving and sending Internet content between adolescents, and to determine the extent of children and young people receive and forward unwanted Internet content. The research has two given assumptions: Adolescents from two schools from Croatia and Germany, are expected to be exposed to undesirable  behavior on the Internet and that they are attracted to harmful, inadequate and inappropriate content.
 -Adolescents express violent and ethically and morally questionable behaviors via the Internet." Vuletić et al, 2014, 539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2025-10-26T10:12:28+00:00</dcterms:created>
  <dcterms:modified xsi:type="dcterms:W3CDTF">2025-10-26T10:12:28+00:00</dcterms:modified>
</cp:coreProperties>
</file>

<file path=docProps/custom.xml><?xml version="1.0" encoding="utf-8"?>
<Properties xmlns="http://schemas.openxmlformats.org/officeDocument/2006/custom-properties" xmlns:vt="http://schemas.openxmlformats.org/officeDocument/2006/docPropsVTypes"/>
</file>