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Riesgos de la comunicación interactiva en la población adolescente. Diagnóstico e intervención de alfabetización digital</w:t>
      </w:r>
    </w:p>
    <w:p>
      <w:pPr>
        <w:pStyle w:val="Title"/>
      </w:pPr>
      <w:r>
        <w:t>Engl. transl.: Risks of interactive communication in adolescents. Digital literacy diagnosis and intervention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12-18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Government of Castile and Leon (Spain) and the European Social Fund [EDU/1083/2013]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Other</w:t>
      </w:r>
    </w:p>
    <w:p>
      <w:pPr>
        <w:pStyle w:val="Heading2"/>
      </w:pPr>
      <w:bookmarkStart w:id="15" w:name="_Toc17"/>
      <w:r>
        <w:t>Other Ethical Procedure</w:t>
      </w:r>
      <w:bookmarkEnd w:id="15"/>
    </w:p>
    <w:p>
      <w:pPr/>
      <w:r>
        <w:rPr/>
        <w:t xml:space="preserve">Some ethical considerations reported, but not a protocol or ethics comitee approval</w:t>
      </w:r>
    </w:p>
    <w:p>
      <w:pPr>
        <w:pStyle w:val="Heading2"/>
      </w:pPr>
      <w:bookmarkStart w:id="16" w:name="_Toc18"/>
      <w:r>
        <w:t>URL</w:t>
      </w:r>
      <w:bookmarkEnd w:id="16"/>
    </w:p>
    <w:p>
      <w:pPr/>
      <w:r>
        <w:rPr/>
        <w:t xml:space="preserve">https://www.ocausal.es/quienes-somos/</w:t>
      </w:r>
    </w:p>
    <w:p>
      <w:pPr>
        <w:pStyle w:val="Heading2"/>
      </w:pPr>
      <w:bookmarkStart w:id="17" w:name="_Toc19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20"/>
      <w:r>
        <w:t>Goals</w:t>
      </w:r>
      <w:bookmarkEnd w:id="18"/>
    </w:p>
    <w:p>
      <w:pPr/>
      <w:r>
        <w:rPr/>
        <w:t xml:space="preserve">This study is part of a pre-doctoral research project. Some of the objectives of the current study were:
-To study the relationship between adolescent's digital skills and risks, opportunities, and parental mediation strategies.
-To develop and validate a digital skills scale.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2025-10-30T15:51:25+00:00</dcterms:created>
  <dcterms:modified xsi:type="dcterms:W3CDTF">2025-10-30T15:51:25+00:00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