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Harmful sexual behaviour in schools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Case reviews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numPr>
          <w:ilvl w:val="0"/>
          <w:numId w:val="5"/>
        </w:numPr>
      </w:pPr>
      <w:r>
        <w:rPr/>
        <w:t xml:space="preserve">Other practitioners working with 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N/A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explore how schools tackle the issue of adolescent sexual image sharing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2257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2025-10-26T10:27:27+00:00</dcterms:created>
  <dcterms:modified xsi:type="dcterms:W3CDTF">2025-10-26T10:27:27+00:00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