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pStyle w:val="Title"/></w:pPr><w:r><w:t>British Household Panel Survey (BHPS)/ Understanding Society</w:t></w:r></w:p><w:p><w:pPr><w:pStyle w:val="Heading1"/></w:pPr><w:bookmarkStart w:id="1" w:name="_Toc2"/><w:r><w:t>Details</w:t></w:r><w:bookmarkEnd w:id="1"/></w:p><w:p><w:pPr><w:pStyle w:val="Heading2"/></w:pPr><w:bookmarkStart w:id="2" w:name="_Toc3"/><w:r><w:t>Year</w:t></w:r><w:bookmarkEnd w:id="2"/></w:p><w:p><w:pPr/><w:r><w:rPr/><w:t xml:space="preserve">2009</w:t></w:r></w:p><w:p><w:pPr><w:pStyle w:val="Heading2"/></w:pPr><w:bookmarkStart w:id="3" w:name="_Toc4"/><w:r><w:t>Scope</w:t></w:r><w:bookmarkEnd w:id="3"/></w:p><w:p><w:pPr/><w:r><w:rPr/><w:t xml:space="preserve">National</w:t></w:r></w:p><w:p><w:pPr><w:pStyle w:val="Heading2"/></w:pPr><w:bookmarkStart w:id="4" w:name="_Toc5"/><w:r><w:t>Countries</w:t></w:r><w:bookmarkEnd w:id="4"/></w:p><w:p><w:pPr/><w:r><w:rPr/><w:t xml:space="preserve">United Kingdom</w:t></w:r></w:p><w:p><w:pPr><w:pStyle w:val="Heading2"/></w:pPr><w:bookmarkStart w:id="5" w:name="_Toc6"/><w:r><w:t>Type</w:t></w:r><w:bookmarkEnd w:id="5"/></w:p><w:p><w:pPr/><w:r><w:rPr/><w:t xml:space="preserve">Empirical research – Quantitative</w:t></w:r></w:p><w:p><w:pPr><w:pStyle w:val="Heading2"/></w:pPr><w:bookmarkStart w:id="6" w:name="_Toc7"/><w:r><w:t>Methodologies</w:t></w:r><w:bookmarkEnd w:id="6"/></w:p><w:p><w:pPr/><w:r><w:rPr/><w:t xml:space="preserve">Survey</w:t></w:r></w:p><w:p><w:pPr><w:pStyle w:val="Heading2"/></w:pPr><w:bookmarkStart w:id="7" w:name="_Toc8"/><w:r><w:t>Researched Groups</w:t></w:r><w:bookmarkEnd w:id="7"/></w:p><w:p><w:pPr/><w:r><w:rPr/><w:t xml:space="preserve">Individuals (whole population, children included)</w:t></w:r></w:p><w:p><w:pPr><w:pStyle w:val="Heading2"/></w:pPr><w:bookmarkStart w:id="8" w:name="_Toc9"/><w:r><w:t>Children Ages</w:t></w:r><w:bookmarkEnd w:id="8"/></w:p><w:p><w:pPr/><w:r><w:rPr/><w:t xml:space="preserve">All (0-18 years old)</w:t></w:r></w:p><w:p><w:pPr><w:pStyle w:val="Heading2"/></w:pPr><w:bookmarkStart w:id="9" w:name="_Toc10"/><w:r><w:t>Funder</w:t></w:r><w:bookmarkEnd w:id="9"/></w:p><w:p><w:pPr/><w:r><w:rPr/><w:t xml:space="preserve">Economic and Social Research Council (ESRC)</w:t></w:r></w:p><w:p><w:pPr><w:pStyle w:val="Heading2"/></w:pPr><w:bookmarkStart w:id="10" w:name="_Toc11"/><w:r><w:t>Funder Types</w:t></w:r><w:bookmarkEnd w:id="10"/></w:p><w:p><w:pPr/><w:r><w:rPr/><w:t xml:space="preserve">National Research Council</w:t></w:r></w:p><w:p><w:pPr><w:pStyle w:val="Heading2"/></w:pPr><w:bookmarkStart w:id="11" w:name="_Toc12"/><w:r><w:t>Has Formal Ethical Clearance</w:t></w:r><w:bookmarkEnd w:id="11"/></w:p><w:p><w:pPr><w:pStyle w:val="Heading2"/></w:pPr><w:bookmarkStart w:id="12" w:name="_Toc13"/><w:r><w:t>Informed Consent</w:t></w:r><w:bookmarkEnd w:id="12"/></w:p><w:p><w:pPr/><w:r><w:rPr/><w:t xml:space="preserve">Consent obtained</w:t></w:r></w:p><w:p><w:pPr><w:pStyle w:val="Heading2"/></w:pPr><w:bookmarkStart w:id="13" w:name="_Toc14"/><w:r><w:t>URL</w:t></w:r><w:bookmarkEnd w:id="13"/></w:p><w:p><w:pPr/><w:r><w:rPr/><w:t xml:space="preserve">https://www.understandingsociety.ac.uk/about/about-the-study</w:t></w:r></w:p><w:p><w:pPr><w:pStyle w:val="Heading2"/></w:pPr><w:bookmarkStart w:id="14" w:name="_Toc15"/><w:r><w:t>Data Set Availability</w:t></w:r><w:bookmarkEnd w:id="14"/></w:p><w:p><w:pPr/><w:r><w:rPr/><w:t xml:space="preserve">Data set in online repository</w:t></w:r></w:p><w:p><w:pPr><w:pStyle w:val="Heading2"/></w:pPr><w:bookmarkStart w:id="15" w:name="_Toc16"/><w:r><w:t>Data Set Link</w:t></w:r><w:bookmarkEnd w:id="15"/></w:p><w:p><w:pPr/><w:r><w:rPr/><w:t xml:space="preserve">https://beta.ukdataservice.ac.uk/datacatalogue/studies/#!?Search=Understanding%20society&Rows=10&Sort=1&DateFrom=440&DateTo=2021&Page=1</w:t></w:r></w:p><w:p><w:pPr><w:pStyle w:val="Heading1"/></w:pPr><w:bookmarkStart w:id="16" w:name="_Toc17"/><w:r><w:t>Goals</w:t></w:r><w:bookmarkEnd w:id="16"/></w:p><w:p><w:pPr/><w:r><w:rPr/><w:t xml:space="preserve">A UK household longitudinal study that explores how life in the UK is changing and what stays the same over many years.</w:t></w:r></w:p><w:sectPr><w:headerReference w:type="default" r:id="rId7"/><w:footerReference w:type="default" r:id="rId8"/><w:pgSz w:orient="portrait" w:w="11905.511811023622" w:h="16837.79527559055"/><w:pgMar w:top="1440" w:right="1440" w:bottom="1440" w:left="144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leftRight"/>
    </w:pPr>
    <w:r>
      <w:rPr/>
      <w:t xml:space="preserve">CO:RE Evidence Base	Downloaded on 19 May 2024</w:t>
    </w:r>
  </w:p>
  <w:p>
    <w:pPr/>
    <w:r>
      <w:rPr/>
      <w:t xml:space="preserve">Study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Title">
    <w:link w:val="titleChar"/>
    <w:name w:val="title"/>
    <w:basedOn w:val="Normal"/>
    <w:pPr>
      <w:spacing w:after="400"/>
    </w:pPr>
    <w:rPr>
      <w:sz w:val="32"/>
      <w:szCs w:val="32"/>
      <w:b w:val="1"/>
      <w:bCs w:val="1"/>
    </w:rPr>
  </w:style>
  <w:style w:type="paragraph" w:styleId="Heading1">
    <w:link w:val="Heading1Char"/>
    <w:name w:val="heading 1"/>
    <w:basedOn w:val="Normal"/>
    <w:pPr>
      <w:spacing w:before="480"/>
    </w:pPr>
    <w:rPr>
      <w:sz w:val="24"/>
      <w:szCs w:val="24"/>
      <w:b w:val="1"/>
      <w:bCs w:val="1"/>
    </w:rPr>
  </w:style>
  <w:style w:type="paragraph" w:styleId="Heading2">
    <w:link w:val="Heading2Char"/>
    <w:name w:val="heading 2"/>
    <w:basedOn w:val="Normal"/>
    <w:pPr>
      <w:spacing w:before="200"/>
    </w:pPr>
    <w:rPr>
      <w:sz w:val="20"/>
      <w:szCs w:val="20"/>
      <w:b w:val="1"/>
      <w:bCs w:val="1"/>
    </w:rPr>
  </w:style>
  <w:style w:type="paragraph" w:customStyle="1" w:styleId="leftRight">
    <w:name w:val="leftRight"/>
    <w:basedOn w:val="Normal"/>
    <w:pPr>
      <w:tabs>
        <w:tab w:val="right" w:leader="none" w:pos="9025.51181102362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2024-05-19T03:34:13+00:00</dcterms:created>
  <dcterms:modified xsi:type="dcterms:W3CDTF">2024-05-19T03:34:13+00:00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