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EU Kids Online 2018-19: Estonia</w:t>
      </w:r>
    </w:p>
    <w:p>
      <w:pPr>
        <w:pStyle w:val="Title"/>
      </w:pPr>
      <w:r>
        <w:t>Engl. transl.: EU Kids Online 2018-19: Estonia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2019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Estonia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numPr>
          <w:ilvl w:val="0"/>
          <w:numId w:val="5"/>
        </w:numPr>
      </w:pPr>
      <w:r>
        <w:rPr/>
        <w:t xml:space="preserve">Adolescents (14-18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Ministry of Social Affairs, Ministry of Education and Research (from the European Social Fund), Ministry of Justice, Estonian Internet Foundation, and Institute of Social Studies, University of Tartu.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>
        <w:numPr>
          <w:ilvl w:val="0"/>
          <w:numId w:val="5"/>
        </w:numPr>
      </w:pPr>
      <w:r>
        <w:rPr/>
        <w:t xml:space="preserve">University</w:t>
      </w:r>
    </w:p>
    <w:p>
      <w:pPr>
        <w:numPr>
          <w:ilvl w:val="0"/>
          <w:numId w:val="5"/>
        </w:numPr>
      </w:pPr>
      <w:r>
        <w:rPr/>
        <w:t xml:space="preserve">European Union / Commission</w:t>
      </w:r>
    </w:p>
    <w:p>
      <w:pPr>
        <w:numPr>
          <w:ilvl w:val="0"/>
          <w:numId w:val="5"/>
        </w:numPr>
      </w:pPr>
      <w:r>
        <w:rPr/>
        <w:t xml:space="preserve">National Government / Ministry</w:t>
      </w:r>
    </w:p>
    <w:p>
      <w:pPr>
        <w:pStyle w:val="Heading2"/>
      </w:pPr>
      <w:bookmarkStart w:id="11" w:name="_Toc13"/>
      <w:r>
        <w:t>Consents</w:t>
      </w:r>
      <w:bookmarkEnd w:id="11"/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obtained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and/or protocol mentioned in the research design</w:t>
      </w:r>
    </w:p>
    <w:p>
      <w:pPr>
        <w:pStyle w:val="Heading2"/>
      </w:pPr>
      <w:bookmarkStart w:id="14" w:name="_Toc16"/>
      <w:r>
        <w:t>URL</w:t>
      </w:r>
      <w:bookmarkEnd w:id="14"/>
    </w:p>
    <w:p>
      <w:pPr/>
      <w:r>
        <w:rPr/>
        <w:t xml:space="preserve">http://www.eukidsonline.net/</w:t>
      </w:r>
    </w:p>
    <w:p>
      <w:pPr>
        <w:pStyle w:val="Heading2"/>
      </w:pPr>
      <w:bookmarkStart w:id="15" w:name="_Toc17"/>
      <w:r>
        <w:t>Data Set Availability</w:t>
      </w:r>
      <w:bookmarkEnd w:id="15"/>
    </w:p>
    <w:p>
      <w:pPr/>
      <w:r>
        <w:rPr/>
        <w:t xml:space="preserve">Data availability statement in the publication</w:t>
      </w:r>
    </w:p>
    <w:p>
      <w:pPr>
        <w:pStyle w:val="Heading1"/>
      </w:pPr>
      <w:bookmarkStart w:id="16" w:name="_Toc18"/>
      <w:r>
        <w:t>Goals</w:t>
      </w:r>
      <w:bookmarkEnd w:id="16"/>
    </w:p>
    <w:p>
      <w:pPr/>
      <w:r>
        <w:rPr/>
        <w:t xml:space="preserve">This is data from the Estonian EU Kids Online survey conducted from January 2019 to April 2019.  The aim was to carry out a representative survey on children and online risks and opportunities taking as a point of departure the cross national comparative survey conducted in 2010 by the EU Kids Online network.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16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AEB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2024-05-16T04:15:13+00:00</dcterms:created>
  <dcterms:modified xsi:type="dcterms:W3CDTF">2024-05-16T04:15:13+00:00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