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Junge Österreicher:innen 2021</w:t>
      </w:r>
    </w:p>
    <w:p>
      <w:pPr>
        <w:pStyle w:val="Title"/>
      </w:pPr>
      <w:r>
        <w:t>Engl. transl.: Young Austrians 2021</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Online quantitative methods (e.g. Online survey)</w:t>
      </w:r>
    </w:p>
    <w:p>
      <w:pPr>
        <w:numPr>
          <w:ilvl w:val="0"/>
          <w:numId w:val="5"/>
        </w:numPr>
      </w:pPr>
      <w:r>
        <w:rPr/>
        <w:t xml:space="preserve">Interview</w:t>
      </w:r>
    </w:p>
    <w:p>
      <w:pPr>
        <w:numPr>
          <w:ilvl w:val="0"/>
          <w:numId w:val="5"/>
        </w:numPr>
      </w:pPr>
      <w:r>
        <w:rPr/>
        <w:t xml:space="preserve">Case study</w:t>
      </w:r>
    </w:p>
    <w:p>
      <w:pPr>
        <w:numPr>
          <w:ilvl w:val="0"/>
          <w:numId w:val="5"/>
        </w:numPr>
      </w:pPr>
      <w:r>
        <w:rPr/>
        <w:t xml:space="preserve">Participatory</w:t>
      </w:r>
    </w:p>
    <w:p>
      <w:pPr>
        <w:numPr>
          <w:ilvl w:val="0"/>
          <w:numId w:val="5"/>
        </w:numPr>
      </w:pPr>
      <w:r>
        <w:rPr/>
        <w:t xml:space="preserve">Other</w:t>
      </w:r>
    </w:p>
    <w:p>
      <w:pPr>
        <w:pStyle w:val="Heading2"/>
      </w:pPr>
      <w:bookmarkStart w:id="7" w:name="_Toc9"/>
      <w:r>
        <w:t>Other Methodology</w:t>
      </w:r>
      <w:bookmarkEnd w:id="7"/>
    </w:p>
    <w:p>
      <w:pPr/>
      <w:r>
        <w:rPr/>
        <w:t xml:space="preserve">Cooperative study with partner institutions</w:t>
      </w:r>
    </w:p>
    <w:p>
      <w:pPr>
        <w:pStyle w:val="Heading2"/>
      </w:pPr>
      <w:bookmarkStart w:id="8" w:name="_Toc10"/>
      <w:r>
        <w:t>Researched Groups</w:t>
      </w:r>
      <w:bookmarkEnd w:id="8"/>
    </w:p>
    <w:p>
      <w:pPr/>
      <w:r>
        <w:rPr/>
        <w:t xml:space="preserve">Children</w:t>
      </w:r>
    </w:p>
    <w:p>
      <w:pPr>
        <w:pStyle w:val="Heading2"/>
      </w:pPr>
      <w:bookmarkStart w:id="9" w:name="_Toc11"/>
      <w:r>
        <w:t>Children Ages</w:t>
      </w:r>
      <w:bookmarkEnd w:id="9"/>
    </w:p>
    <w:p>
      <w:pPr>
        <w:numPr>
          <w:ilvl w:val="0"/>
          <w:numId w:val="5"/>
        </w:numPr>
      </w:pPr>
      <w:r>
        <w:rPr/>
        <w:t xml:space="preserve">Adolescents (14-18 Years old)</w:t>
      </w:r>
    </w:p>
    <w:p>
      <w:pPr>
        <w:numPr>
          <w:ilvl w:val="0"/>
          <w:numId w:val="5"/>
        </w:numPr>
      </w:pPr>
      <w:r>
        <w:rPr/>
        <w:t xml:space="preserve">Young adults (19-24 Years old)</w:t>
      </w:r>
    </w:p>
    <w:p>
      <w:pPr>
        <w:numPr>
          <w:ilvl w:val="0"/>
          <w:numId w:val="5"/>
        </w:numPr>
      </w:pPr>
      <w:r>
        <w:rPr/>
        <w:t xml:space="preserve">Other</w:t>
      </w:r>
    </w:p>
    <w:p>
      <w:pPr>
        <w:pStyle w:val="Heading2"/>
      </w:pPr>
      <w:bookmarkStart w:id="10" w:name="_Toc12"/>
      <w:r>
        <w:t>Other Childrens Age Group</w:t>
      </w:r>
      <w:bookmarkEnd w:id="10"/>
    </w:p>
    <w:p>
      <w:pPr/>
      <w:r>
        <w:rPr/>
        <w:t xml:space="preserve">Adults (25-39 Years old)</w:t>
      </w:r>
    </w:p>
    <w:p>
      <w:pPr>
        <w:pStyle w:val="Heading2"/>
      </w:pPr>
      <w:bookmarkStart w:id="11" w:name="_Toc13"/>
      <w:r>
        <w:t>Funder</w:t>
      </w:r>
      <w:bookmarkEnd w:id="11"/>
    </w:p>
    <w:p>
      <w:pPr/>
      <w:r>
        <w:rPr/>
        <w:t xml:space="preserve">Simon Schnetzer Jugendforscher and Partner</w:t>
      </w:r>
    </w:p>
    <w:p>
      <w:pPr>
        <w:pStyle w:val="Heading2"/>
      </w:pPr>
      <w:bookmarkStart w:id="12" w:name="_Toc14"/>
      <w:r>
        <w:t>Funder Types</w:t>
      </w:r>
      <w:bookmarkEnd w:id="12"/>
    </w:p>
    <w:p>
      <w:pPr>
        <w:numPr>
          <w:ilvl w:val="0"/>
          <w:numId w:val="5"/>
        </w:numPr>
      </w:pPr>
      <w:r>
        <w:rPr/>
        <w:t xml:space="preserve">Private industry / Company</w:t>
      </w:r>
    </w:p>
    <w:p>
      <w:pPr>
        <w:numPr>
          <w:ilvl w:val="0"/>
          <w:numId w:val="5"/>
        </w:numPr>
      </w:pPr>
      <w:r>
        <w:rPr/>
        <w:t xml:space="preserve">Regional Government</w:t>
      </w:r>
    </w:p>
    <w:p>
      <w:pPr>
        <w:numPr>
          <w:ilvl w:val="0"/>
          <w:numId w:val="5"/>
        </w:numPr>
      </w:pPr>
      <w:r>
        <w:rPr/>
        <w:t xml:space="preserve">European Union / Commission</w:t>
      </w:r>
    </w:p>
    <w:p>
      <w:pPr>
        <w:numPr>
          <w:ilvl w:val="0"/>
          <w:numId w:val="5"/>
        </w:numPr>
      </w:pPr>
      <w:r>
        <w:rPr/>
        <w:t xml:space="preserve">University</w:t>
      </w:r>
    </w:p>
    <w:p>
      <w:pPr>
        <w:pStyle w:val="Heading2"/>
      </w:pPr>
      <w:bookmarkStart w:id="13" w:name="_Toc15"/>
      <w:r>
        <w:t>Informed Consent</w:t>
      </w:r>
      <w:bookmarkEnd w:id="13"/>
    </w:p>
    <w:p>
      <w:pPr/>
      <w:r>
        <w:rPr/>
        <w:t xml:space="preserve">Consent not mentioned</w:t>
      </w:r>
    </w:p>
    <w:p>
      <w:pPr>
        <w:pStyle w:val="Heading2"/>
      </w:pPr>
      <w:bookmarkStart w:id="14" w:name="_Toc16"/>
      <w:r>
        <w:t>Ethics</w:t>
      </w:r>
      <w:bookmarkEnd w:id="14"/>
    </w:p>
    <w:p>
      <w:pPr/>
      <w:r>
        <w:rPr/>
        <w:t xml:space="preserve">Ethical considerations not mentioned</w:t>
      </w:r>
    </w:p>
    <w:p>
      <w:pPr>
        <w:pStyle w:val="Heading2"/>
      </w:pPr>
      <w:bookmarkStart w:id="15" w:name="_Toc17"/>
      <w:r>
        <w:t>URL</w:t>
      </w:r>
      <w:bookmarkEnd w:id="15"/>
    </w:p>
    <w:p>
      <w:pPr/>
      <w:r>
        <w:rPr/>
        <w:t xml:space="preserve">https://simon-schnetzer.com/studie-junge-oesterreicherinnen-2021/</w:t>
      </w:r>
    </w:p>
    <w:p>
      <w:pPr>
        <w:pStyle w:val="Heading2"/>
      </w:pPr>
      <w:bookmarkStart w:id="16" w:name="_Toc18"/>
      <w:r>
        <w:t>Data Set Availability</w:t>
      </w:r>
      <w:bookmarkEnd w:id="16"/>
    </w:p>
    <w:p>
      <w:pPr/>
      <w:r>
        <w:rPr/>
        <w:t xml:space="preserve">Data availability statement in the publication</w:t>
      </w:r>
    </w:p>
    <w:p>
      <w:pPr>
        <w:pStyle w:val="Heading2"/>
      </w:pPr>
      <w:bookmarkStart w:id="17" w:name="_Toc19"/>
      <w:r>
        <w:t>Data Set Link</w:t>
      </w:r>
      <w:bookmarkEnd w:id="17"/>
    </w:p>
    <w:p>
      <w:pPr/>
      <w:r>
        <w:rPr/>
        <w:t xml:space="preserve">https://simon-schnetzer.com/studie-junge-oesterreicherinnen-2021/#pakete</w:t>
      </w:r>
    </w:p>
    <w:p>
      <w:pPr>
        <w:pStyle w:val="Heading1"/>
      </w:pPr>
      <w:bookmarkStart w:id="18" w:name="_Toc20"/>
      <w:r>
        <w:t>Goals</w:t>
      </w:r>
      <w:bookmarkEnd w:id="18"/>
    </w:p>
    <w:p>
      <w:pPr/>
      <w:r>
        <w:rPr/>
        <w:t xml:space="preserve">"Volume with the overall evaluation for Generation Z and Generation Y. The study contains up-to-the-minute figures on current concerns of teenagers and young adults in Austria, as well as stories to explain the statistics and make trends tangible. In addition, youth researcher and management trainer Simon Schnetzer and management consultant Heinz Herczeg provide exclusive practical tips for employers and politicians, parents and educational institutions for each chapter." (Schnetzer, 2021, online;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AE8F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2025-10-16T15:13:25+00:00</dcterms:created>
  <dcterms:modified xsi:type="dcterms:W3CDTF">2025-10-16T15:13:25+00:00</dcterms:modified>
</cp:coreProperties>
</file>

<file path=docProps/custom.xml><?xml version="1.0" encoding="utf-8"?>
<Properties xmlns="http://schemas.openxmlformats.org/officeDocument/2006/custom-properties" xmlns:vt="http://schemas.openxmlformats.org/officeDocument/2006/docPropsVTypes"/>
</file>