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Study of Cognition, Adolescents and Mobile Phones (SCAMP)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Experiment/Intervention</w:t></w:r></w:p><w:p><w:pPr><w:pStyle w:val="Heading2"/></w:pPr><w:bookmarkStart w:id="6" w:name="_Toc7"/><w:r><w:t>Methodologies</w:t></w:r><w:bookmarkEnd w:id="6"/></w:p><w:p><w:pPr/><w:r><w:rPr/><w:t xml:space="preserve">Experimental / Quasi-experimental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Pre-adolescents (11-13 Years old)</w:t></w:r></w:p><w:p><w:pPr><w:pStyle w:val="Heading2"/></w:pPr><w:bookmarkStart w:id="9" w:name="_Toc10"/><w:r><w:t>Funder</w:t></w:r><w:bookmarkEnd w:id="9"/></w:p><w:p><w:pPr/><w:r><w:rPr/><w:t xml:space="preserve">Department of Health & Social Care</w:t></w:r></w:p><w:p><w:pPr><w:pStyle w:val="Heading2"/></w:pPr><w:bookmarkStart w:id="10" w:name="_Toc11"/><w:r><w:t>Funder Types</w:t></w:r><w:bookmarkEnd w:id="10"/></w:p><w:p><w:pPr/><w:r><w:rPr/><w:t xml:space="preserve">National Government / Ministry</w:t></w:r></w:p><w:p><w:pPr><w:pStyle w:val="Heading2"/></w:pPr><w:bookmarkStart w:id="11" w:name="_Toc12"/><w:r><w:t>Consents</w:t></w:r><w:bookmarkEnd w:id="11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URL</w:t></w:r><w:bookmarkEnd w:id="13"/></w:p><w:p><w:pPr/><w:r><w:rPr/><w:t xml:space="preserve">https://www.scampstudy.org/</w:t></w:r></w:p><w:p><w:pPr><w:pStyle w:val="Heading1"/></w:pPr><w:bookmarkStart w:id="14" w:name="_Toc15"/><w:r><w:t>Goals</w:t></w:r><w:bookmarkEnd w:id="14"/></w:p><w:p><w:pPr/><w:r><w:rPr/><w:t xml:space="preserve">To investigate whether children’s use of mobile phones and/or other technologies that use radio waves e.g. portable landline phones and wireless internet, might affect their cognitive or behavioural development e.g. attention, memory, language understanding.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87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2025-10-24T13:57:27+00:00</dcterms:created>
  <dcterms:modified xsi:type="dcterms:W3CDTF">2025-10-24T13:57:27+00:00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