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United Kingdom Time Use Surveys (UKTUS)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2015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United Kingdom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Individuals (whole population, children included)</w:t>
      </w:r>
    </w:p>
    <w:p>
      <w:pPr>
        <w:pStyle w:val="Heading2"/>
      </w:pPr>
      <w:bookmarkStart w:id="8" w:name="_Toc9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numPr>
          <w:ilvl w:val="0"/>
          <w:numId w:val="5"/>
        </w:numPr>
      </w:pPr>
      <w:r>
        <w:rPr/>
        <w:t xml:space="preserve">Young adults (19-24 Years old)</w:t>
      </w:r>
    </w:p>
    <w:p>
      <w:pPr>
        <w:pStyle w:val="Heading2"/>
      </w:pPr>
      <w:bookmarkStart w:id="9" w:name="_Toc10"/>
      <w:r>
        <w:t>Funder</w:t>
      </w:r>
      <w:bookmarkEnd w:id="9"/>
    </w:p>
    <w:p>
      <w:pPr/>
      <w:r>
        <w:rPr/>
        <w:t xml:space="preserve">Economic and Social Research Council (ESRC)</w:t>
      </w:r>
    </w:p>
    <w:p>
      <w:pPr>
        <w:pStyle w:val="Heading2"/>
      </w:pPr>
      <w:bookmarkStart w:id="10" w:name="_Toc11"/>
      <w:r>
        <w:t>Funder Types</w:t>
      </w:r>
      <w:bookmarkEnd w:id="10"/>
    </w:p>
    <w:p>
      <w:pPr/>
      <w:r>
        <w:rPr/>
        <w:t xml:space="preserve">National Research Council</w:t>
      </w:r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3"/>
      <w:r>
        <w:t>Ethics</w:t>
      </w:r>
      <w:bookmarkEnd w:id="12"/>
    </w:p>
    <w:p>
      <w:pPr/>
      <w:r>
        <w:rPr/>
        <w:t xml:space="preserve">Ethical considerations not mentioned</w:t>
      </w:r>
    </w:p>
    <w:p>
      <w:pPr>
        <w:pStyle w:val="Heading2"/>
      </w:pPr>
      <w:bookmarkStart w:id="13" w:name="_Toc14"/>
      <w:r>
        <w:t>URL</w:t>
      </w:r>
      <w:bookmarkEnd w:id="13"/>
    </w:p>
    <w:p>
      <w:pPr/>
      <w:r>
        <w:rPr/>
        <w:t xml:space="preserve">https://www.timeuse.org/node/10833</w:t>
      </w:r>
    </w:p>
    <w:p>
      <w:pPr>
        <w:pStyle w:val="Heading2"/>
      </w:pPr>
      <w:bookmarkStart w:id="14" w:name="_Toc15"/>
      <w:r>
        <w:t>Data Set Availability</w:t>
      </w:r>
      <w:bookmarkEnd w:id="14"/>
    </w:p>
    <w:p>
      <w:pPr/>
      <w:r>
        <w:rPr/>
        <w:t xml:space="preserve">Data set in online repository</w:t>
      </w:r>
    </w:p>
    <w:p>
      <w:pPr>
        <w:pStyle w:val="Heading2"/>
      </w:pPr>
      <w:bookmarkStart w:id="15" w:name="_Toc16"/>
      <w:r>
        <w:t>Data Set Link</w:t>
      </w:r>
      <w:bookmarkEnd w:id="15"/>
    </w:p>
    <w:p>
      <w:pPr/>
      <w:r>
        <w:rPr/>
        <w:t xml:space="preserve">https://beta.ukdataservice.ac.uk/datacatalogue/studies/study?id=8128</w:t>
      </w:r>
    </w:p>
    <w:p>
      <w:pPr>
        <w:pStyle w:val="Heading1"/>
      </w:pPr>
      <w:bookmarkStart w:id="16" w:name="_Toc17"/>
      <w:r>
        <w:t>Goals</w:t>
      </w:r>
      <w:bookmarkEnd w:id="16"/>
    </w:p>
    <w:p>
      <w:pPr/>
      <w:r>
        <w:rPr/>
        <w:t xml:space="preserve">To collect information about individuals’ time use, along with a range of social,
economic and demographic variable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12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EFFC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2024-05-12T16:41:05+00:00</dcterms:created>
  <dcterms:modified xsi:type="dcterms:W3CDTF">2024-05-12T16:41:05+00:00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