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Crianças e Internet: usos e representações, a família e a escola</w:t>
      </w:r>
    </w:p>
    <w:p>
      <w:pPr>
        <w:pStyle w:val="Title"/>
      </w:pPr>
      <w:r>
        <w:t>Engl. transl.: Children and the Internet: uses and representations, the family and the school</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Participatory</w:t>
      </w:r>
    </w:p>
    <w:p>
      <w:pPr>
        <w:numPr>
          <w:ilvl w:val="0"/>
          <w:numId w:val="5"/>
        </w:numPr>
      </w:pPr>
      <w:r>
        <w:rPr/>
        <w:t xml:space="preserve">Ethnography / participant observation</w:t>
      </w:r>
    </w:p>
    <w:p>
      <w:pPr>
        <w:numPr>
          <w:ilvl w:val="0"/>
          <w:numId w:val="5"/>
        </w:numPr>
      </w:pPr>
      <w:r>
        <w:rPr/>
        <w:t xml:space="preserve">Online qualitative methods (e.g. Netnography)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Calouste Gulbenkian Foundation</w:t>
      </w:r>
    </w:p>
    <w:p>
      <w:pPr>
        <w:pStyle w:val="Heading2"/>
      </w:pPr>
      <w:bookmarkStart w:id="10" w:name="_Toc12"/>
      <w:r>
        <w:t>Funder Types</w:t>
      </w:r>
      <w:bookmarkEnd w:id="10"/>
    </w:p>
    <w:p>
      <w:pPr/>
      <w:r>
        <w:rPr/>
        <w:t xml:space="preserve">Foundation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Study about children and the internet, their uses at school and at home. In view of the democratization of access to new technologies and their massive entry into schools, which can be seen almost as a “technological shock”, researchers were asking whether the strong public investment made would correspond to “qualitatively innovative pedagogical changes in the ways to teach and learn ”. This study also aimed to ask whether the school “contributes to promoting equality of digital opportunities among children from very different social backgrounds”, or whether, on the contrary, the technologies increase the distances between children. The study developed in three distinct phases sought to identify the presence and appropriations of the internet in the daily lives of children in Portugal, also showing the uses and representations of these new digital childhoods, not forgetting the risks and the traditional educational relationships between parents and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B8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2025-10-16T05:09:30+00:00</dcterms:created>
  <dcterms:modified xsi:type="dcterms:W3CDTF">2025-10-16T05:09:30+00:00</dcterms:modified>
</cp:coreProperties>
</file>

<file path=docProps/custom.xml><?xml version="1.0" encoding="utf-8"?>
<Properties xmlns="http://schemas.openxmlformats.org/officeDocument/2006/custom-properties" xmlns:vt="http://schemas.openxmlformats.org/officeDocument/2006/docPropsVTypes"/>
</file>