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Crianças e Internet: usos e representações, a família e a escola</w:t>
      </w:r>
    </w:p>
    <w:p>
      <w:pPr>
        <w:pStyle w:val="Title"/>
      </w:pPr>
      <w:r>
        <w:t>Engl. transl.: Children and the Internet: uses and representations, the family and the school</w:t>
      </w:r>
    </w:p>
    <w:p>
      <w:pPr>
        <w:pStyle w:val="Heading1"/>
      </w:pPr>
      <w:bookmarkStart w:id="1" w:name="_Toc3"/>
      <w:r>
        <w:t>Details</w:t>
      </w:r>
      <w:bookmarkEnd w:id="1"/>
    </w:p>
    <w:p>
      <w:pPr>
        <w:pStyle w:val="Heading2"/>
      </w:pPr>
      <w:bookmarkStart w:id="2" w:name="_Toc4"/>
      <w:r>
        <w:t>Year</w:t>
      </w:r>
      <w:bookmarkEnd w:id="2"/>
    </w:p>
    <w:p>
      <w:pPr/>
      <w:r>
        <w:rPr/>
        <w:t xml:space="preserve">2012</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Portugal</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Participatory</w:t>
      </w:r>
    </w:p>
    <w:p>
      <w:pPr>
        <w:numPr>
          <w:ilvl w:val="0"/>
          <w:numId w:val="5"/>
        </w:numPr>
      </w:pPr>
      <w:r>
        <w:rPr/>
        <w:t xml:space="preserve">Ethnography / participant observation</w:t>
      </w:r>
    </w:p>
    <w:p>
      <w:pPr>
        <w:numPr>
          <w:ilvl w:val="0"/>
          <w:numId w:val="5"/>
        </w:numPr>
      </w:pPr>
      <w:r>
        <w:rPr/>
        <w:t xml:space="preserve">Online qualitative methods (e.g. Netnography)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pStyle w:val="Heading2"/>
      </w:pPr>
      <w:bookmarkStart w:id="9" w:name="_Toc11"/>
      <w:r>
        <w:t>Funder</w:t>
      </w:r>
      <w:bookmarkEnd w:id="9"/>
    </w:p>
    <w:p>
      <w:pPr/>
      <w:r>
        <w:rPr/>
        <w:t xml:space="preserve">Calouste Gulbenkian Foundation</w:t>
      </w:r>
    </w:p>
    <w:p>
      <w:pPr>
        <w:pStyle w:val="Heading2"/>
      </w:pPr>
      <w:bookmarkStart w:id="10" w:name="_Toc12"/>
      <w:r>
        <w:t>Funder Types</w:t>
      </w:r>
      <w:bookmarkEnd w:id="10"/>
    </w:p>
    <w:p>
      <w:pPr/>
      <w:r>
        <w:rPr/>
        <w:t xml:space="preserve">Foundation</w:t>
      </w:r>
    </w:p>
    <w:p>
      <w:pPr>
        <w:pStyle w:val="Heading2"/>
      </w:pPr>
      <w:bookmarkStart w:id="11" w:name="_Toc13"/>
      <w:r>
        <w:t>Has Formal Ethical Clearance</w:t>
      </w:r>
      <w:bookmarkEnd w:id="11"/>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issues flagged in the paper</w:t>
      </w:r>
    </w:p>
    <w:p>
      <w:pPr>
        <w:pStyle w:val="Heading2"/>
      </w:pPr>
      <w:bookmarkStart w:id="15" w:name="_Toc17"/>
      <w:r>
        <w:t>Data Set Availability</w:t>
      </w:r>
      <w:bookmarkEnd w:id="15"/>
    </w:p>
    <w:p>
      <w:pPr/>
      <w:r>
        <w:rPr/>
        <w:t xml:space="preserve">Data availability statement in the publication</w:t>
      </w:r>
    </w:p>
    <w:p>
      <w:pPr>
        <w:pStyle w:val="Heading1"/>
      </w:pPr>
      <w:bookmarkStart w:id="16" w:name="_Toc18"/>
      <w:r>
        <w:t>Goals</w:t>
      </w:r>
      <w:bookmarkEnd w:id="16"/>
    </w:p>
    <w:p>
      <w:pPr/>
      <w:r>
        <w:rPr/>
        <w:t xml:space="preserve">Study about children and the internet, their uses at school and at home. In view of the democratization of access to new technologies and their massive entry into schools, which can be seen almost as a “technological shock”, researchers were asking whether the strong public investment made would correspond to “qualitatively innovative pedagogical changes in the ways to teach and learn ”. This study also aimed to ask whether the school “contributes to promoting equality of digital opportunities among children from very different social backgrounds”, or whether, on the contrary, the technologies increase the distances between children. The study developed in three distinct phases sought to identify the presence and appropriations of the internet in the daily lives of children in Portugal, also showing the uses and representations of these new digital childhoods, not forgetting the risks and the traditional educational relationships between parents and children.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30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48966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2024-04-30T07:41:45+00:00</dcterms:created>
  <dcterms:modified xsi:type="dcterms:W3CDTF">2024-04-30T07:41:45+00:00</dcterms:modified>
</cp:coreProperties>
</file>

<file path=docProps/custom.xml><?xml version="1.0" encoding="utf-8"?>
<Properties xmlns="http://schemas.openxmlformats.org/officeDocument/2006/custom-properties" xmlns:vt="http://schemas.openxmlformats.org/officeDocument/2006/docPropsVTypes"/>
</file>