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Technology-Assisted Adolescent Dating Violence and Abuse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Coventry University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numPr>
          <w:ilvl w:val="0"/>
          <w:numId w:val="5"/>
        </w:numPr>
      </w:pPr>
      <w:r>
        <w:rPr/>
        <w:t xml:space="preserve">Consent obtained from school officials / principal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explore the nature of adolescents’ experiences of Technology-Assisted Adolescent Dating Violence and Abuse (TAADVA) behaviours and whether the ICT used varies depending on the behaviour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E33F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2025-10-26T18:24:19+00:00</dcterms:created>
  <dcterms:modified xsi:type="dcterms:W3CDTF">2025-10-26T18:24:19+00:00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