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JAUNESNIO MOKYKLINIO AMŽIAUS VAIKŲ INTERNETO NAUDOJIMO SĄSAJOS SU JŲ SOCIALINE EMOCINE RAIDA BEI SANTYKIAIS SU TĖVAIS LATVIJOJE, LIETUVOJE IR TAIVANE: TĘSTINIS TYRIMAS</w:t>
      </w:r>
    </w:p>
    <w:p>
      <w:pPr>
        <w:pStyle w:val="Title"/>
      </w:pPr>
      <w:r>
        <w:t>Engl. transl.: SOCIOEMOTIONAL DEVELOPMENT AND PARENTING PRACTICES IN LATVIA, LITHUANIA AND TAIWAN: A LONGITUDINAL STUDY</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Lithuania</w:t>
      </w:r>
    </w:p>
    <w:p>
      <w:pPr>
        <w:numPr>
          <w:ilvl w:val="0"/>
          <w:numId w:val="5"/>
        </w:numPr>
      </w:pPr>
      <w:r>
        <w:rPr/>
        <w:t xml:space="preserve">Latvia</w:t>
      </w:r>
    </w:p>
    <w:p>
      <w:pPr>
        <w:numPr>
          <w:ilvl w:val="0"/>
          <w:numId w:val="5"/>
        </w:numPr>
      </w:pPr>
      <w:r>
        <w:rPr/>
        <w:t xml:space="preserve">Other</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Ministry of Education and Science of the Republic of Lithuania, the Ministry of Education and Science of the Republic of Latvia and the Ministry of Science and Technology (MOST) of the Republic of China (Taiwan)</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https://www.mediavaikai.lt/primary-school-project</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aim of this research is to cross-culturally examine the longitudinal relationships between school-aged children’s Internet use, parenting practices, and children’s socioemotional problems vs adaptive adjustment in Latvia, Lithuania, and Taiwan. A comparison of these variables in all three countries with marked sociocultural variations, for example, collectivism vs individualism values, allows the opportunity to examine relationships between sociocultural, familial, and child’s effects.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84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2025-10-26T15:42:38+00:00</dcterms:created>
  <dcterms:modified xsi:type="dcterms:W3CDTF">2025-10-26T15:42:38+00:00</dcterms:modified>
</cp:coreProperties>
</file>

<file path=docProps/custom.xml><?xml version="1.0" encoding="utf-8"?>
<Properties xmlns="http://schemas.openxmlformats.org/officeDocument/2006/custom-properties" xmlns:vt="http://schemas.openxmlformats.org/officeDocument/2006/docPropsVTypes"/>
</file>