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Internet users’ experience of potential online harms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Ofcom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Regulator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https://www.ofcom.org.uk/research-and-data/internet-and-on-demand-research/internet-use-and-attitudes/internet-users-experience-of-harm-online</w:t>
      </w:r>
    </w:p>
    <w:p>
      <w:pPr>
        <w:pStyle w:val="Heading2"/>
      </w:pPr>
      <w:bookmarkStart w:id="13" w:name="_Toc14"/>
      <w:r>
        <w:t>Data Set Link</w:t>
      </w:r>
      <w:bookmarkEnd w:id="13"/>
    </w:p>
    <w:p>
      <w:pPr/>
      <w:r>
        <w:rPr/>
        <w:t xml:space="preserve">https://www.ofcom.org.uk/__data/assets/excel_doc/0026/194705/online-harms-2020-children-data-tables.xlsx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quantify concerns about, reported experiences of and potential sources of online harm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2025-10-26T21:49:47+00:00</dcterms:created>
  <dcterms:modified xsi:type="dcterms:W3CDTF">2025-10-26T21:49:47+00:00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