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digital literacy and multimodal practices of young children (DigiLitEY)</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r>
        <w:rPr/>
        <w:t xml:space="preserve">Belgium</w:t>
      </w:r>
    </w:p>
    <w:p>
      <w:pPr>
        <w:pStyle w:val="Heading2"/>
      </w:pPr>
      <w:bookmarkStart w:id="5" w:name="_Toc6"/>
      <w:r>
        <w:t>Type</w:t>
      </w:r>
      <w:bookmarkEnd w:id="5"/>
    </w:p>
    <w:p>
      <w:pPr/>
      <w:r>
        <w:rPr/>
        <w:t xml:space="preserve">Empirical research – Mixed methods</w:t>
      </w:r>
    </w:p>
    <w:p>
      <w:pPr>
        <w:pStyle w:val="Heading2"/>
      </w:pPr>
      <w:bookmarkStart w:id="6" w:name="_Toc7"/>
      <w:r>
        <w:t>Researched Groups</w:t>
      </w:r>
      <w:bookmarkEnd w:id="6"/>
    </w:p>
    <w:p>
      <w:pPr/>
      <w:r>
        <w:rPr/>
        <w:t xml:space="preserve">Children</w:t>
      </w:r>
    </w:p>
    <w:p>
      <w:pPr>
        <w:pStyle w:val="Heading2"/>
      </w:pPr>
      <w:bookmarkStart w:id="7" w:name="_Toc8"/>
      <w:r>
        <w:t>Children Ages</w:t>
      </w:r>
      <w:bookmarkEnd w:id="7"/>
    </w:p>
    <w:p>
      <w:pPr>
        <w:pStyle w:val="Heading2"/>
      </w:pPr>
      <w:bookmarkStart w:id="8" w:name="_Toc9"/>
      <w:r>
        <w:t>Funder</w:t>
      </w:r>
      <w:bookmarkEnd w:id="8"/>
    </w:p>
    <w:p>
      <w:pPr/>
      <w:r>
        <w:rPr/>
        <w:t xml:space="preserve">FWO: Fonds Wetenschappelijk Onderzoek; Australian Research Council; Horizon 2020</w:t>
      </w:r>
    </w:p>
    <w:p>
      <w:pPr>
        <w:pStyle w:val="Heading2"/>
      </w:pPr>
      <w:bookmarkStart w:id="9" w:name="_Toc10"/>
      <w:r>
        <w:t>Funder Types</w:t>
      </w:r>
      <w:bookmarkEnd w:id="9"/>
    </w:p>
    <w:p>
      <w:pPr>
        <w:pStyle w:val="Heading2"/>
      </w:pPr>
      <w:bookmarkStart w:id="10" w:name="_Toc11"/>
      <w:r>
        <w:t>Has Formal Ethical Clearance</w:t>
      </w:r>
      <w:bookmarkEnd w:id="10"/>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and/or protocol mentioned in the research design</w:t>
      </w:r>
    </w:p>
    <w:p>
      <w:pPr>
        <w:pStyle w:val="Heading2"/>
      </w:pPr>
      <w:bookmarkStart w:id="13" w:name="_Toc14"/>
      <w:r>
        <w:t>URL</w:t>
      </w:r>
      <w:bookmarkEnd w:id="13"/>
    </w:p>
    <w:p>
      <w:pPr/>
      <w:r>
        <w:rPr/>
        <w:t xml:space="preserve">http://digilitey.eu/</w:t>
      </w:r>
    </w:p>
    <w:p>
      <w:pPr>
        <w:pStyle w:val="Heading1"/>
      </w:pPr>
      <w:bookmarkStart w:id="14" w:name="_Toc15"/>
      <w:r>
        <w:t>Goals</w:t>
      </w:r>
      <w:bookmarkEnd w:id="14"/>
    </w:p>
    <w:p>
      <w:pPr/>
      <w:r>
        <w:rPr/>
        <w:t xml:space="preserve">Young children are growing up in highly technologised societies. The aim of this COST Action, which took place from 2015-2019, was to develop an interdisciplinary network that enabled researchers to undertake important collaborative work that provided a knowledge base about this issue. Researchers, educators and industry partners across 36 COST countries and two International Partner Countries (Brazil and Australia) worked together to achieve the aims of the COST Action. On these pages, you can find all of the reports produced by the COST Action’s five working groups.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2025-10-13T21:12:08+00:00</dcterms:created>
  <dcterms:modified xsi:type="dcterms:W3CDTF">2025-10-13T21:12:08+00:00</dcterms:modified>
</cp:coreProperties>
</file>

<file path=docProps/custom.xml><?xml version="1.0" encoding="utf-8"?>
<Properties xmlns="http://schemas.openxmlformats.org/officeDocument/2006/custom-properties" xmlns:vt="http://schemas.openxmlformats.org/officeDocument/2006/docPropsVTypes"/>
</file>