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ParentKIT: The efficacy of a transdiagnostic intervention delivered online enhanced with a parent training component for children with internalizing problems</w:t>
      </w:r>
    </w:p>
    <w:p>
      <w:pPr>
        <w:pStyle w:val="Title"/>
      </w:pPr>
      <w:r>
        <w:t>Engl. transl.: ParentKIT: The efficacy of a transdiagnostic intervention delivered online enhanced with a parent training component for children with internalizing problems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Romania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Babeș-Bolyai University through the Grants for Young Researchers Program, project no. GTC 31371/2020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No consent needed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Part of this work was supported by a grant of the Babeș-Bolyai University through the Grants for Young Researchers Program, project no. GTC 31371/2020 (ParentKIT: The efficacy of a transdiagnostic intervention delivered online enhanced with a parent training component for children with internalizing problems) awarded to Dr. Costina-Ruxandra Păsărelu.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2025-10-14T08:50:24+00:00</dcterms:created>
  <dcterms:modified xsi:type="dcterms:W3CDTF">2025-10-14T08:50:24+00:00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