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and Multimodal Practices of Young Children from Romania (2015–2016)</w:t>
      </w:r>
    </w:p>
    <w:p>
      <w:pPr>
        <w:pStyle w:val="Title"/>
      </w:pPr>
      <w:r>
        <w:t>Engl. transl.: Digital and Multimodal Practices of Young Children from Romania (2015–2016)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Romania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children's drawing, visual research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the Institute of Research Programmes of Sapientia Foundation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University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"""During the period of December 2015–May 2016, we conducted an exploratory
research among 4–6-year-old Romanian children about their multimodal
practices and digital literacy (...) We addressed the following research questions: the role of digital technology in young children’s everyday life; the use of digital technology among young children’s media practices; young children’s access to and use of digital devices; young children’s emotional attitude towards digital technology; young children’s preferred digital devices (smartphone, tablet, console, or computer) and adopted multimodal activities (games, applications); young children’s level of digital literacy; adults’
attitudes toward the relationship between young children and digital technology"" (Tokes, 2016, p. 62)"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00EF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2025-10-25T15:09:42+00:00</dcterms:created>
  <dcterms:modified xsi:type="dcterms:W3CDTF">2025-10-25T15:09:42+00:00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