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Understøttelse af Faglighed og Almendannelse (DUFA)</w:t>
      </w:r>
    </w:p>
    <w:p>
      <w:pPr>
        <w:pStyle w:val="Title"/>
      </w:pPr>
      <w:r>
        <w:t>Engl. transl.: Digital Support for Professionalism and General Education (DUFA)</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Denmark</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pStyle w:val="Heading2"/>
      </w:pPr>
      <w:bookmarkStart w:id="7" w:name="_Toc9"/>
      <w:r>
        <w:t>Other Methodology</w:t>
      </w:r>
      <w:bookmarkEnd w:id="7"/>
    </w:p>
    <w:p>
      <w:pPr/>
      <w:r>
        <w:rPr/>
        <w:t xml:space="preserve">Workshop</w:t>
      </w:r>
    </w:p>
    <w:p>
      <w:pPr>
        <w:pStyle w:val="Heading2"/>
      </w:pPr>
      <w:bookmarkStart w:id="8" w:name="_Toc10"/>
      <w:r>
        <w:t>Researched Groups</w:t>
      </w:r>
      <w:bookmarkEnd w:id="8"/>
    </w:p>
    <w:p>
      <w:pPr>
        <w:pStyle w:val="Heading2"/>
      </w:pPr>
      <w:bookmarkStart w:id="9" w:name="_Toc11"/>
      <w:r>
        <w:t>Children Ages</w:t>
      </w:r>
      <w:bookmarkEnd w:id="9"/>
    </w:p>
    <w:p>
      <w:pPr/>
      <w:r>
        <w:rPr/>
        <w:t xml:space="preserve">Adolescents (14-18 Years old)</w:t>
      </w:r>
    </w:p>
    <w:p>
      <w:pPr>
        <w:pStyle w:val="Heading2"/>
      </w:pPr>
      <w:bookmarkStart w:id="10" w:name="_Toc12"/>
      <w:r>
        <w:t>Funder</w:t>
      </w:r>
      <w:bookmarkEnd w:id="10"/>
    </w:p>
    <w:p>
      <w:pPr/>
      <w:r>
        <w:rPr/>
        <w:t xml:space="preserve">Undervisningsministeriet</w:t>
      </w:r>
    </w:p>
    <w:p>
      <w:pPr>
        <w:pStyle w:val="Heading2"/>
      </w:pPr>
      <w:bookmarkStart w:id="11" w:name="_Toc13"/>
      <w:r>
        <w:t>Funder Types</w:t>
      </w:r>
      <w:bookmarkEnd w:id="11"/>
    </w:p>
    <w:p>
      <w:pPr/>
      <w:r>
        <w:rPr/>
        <w:t xml:space="preserve">National Government / Ministry</w:t>
      </w:r>
    </w:p>
    <w:p>
      <w:pPr>
        <w:pStyle w:val="Heading2"/>
      </w:pPr>
      <w:bookmarkStart w:id="12" w:name="_Toc14"/>
      <w:r>
        <w:t>Informed Consent</w:t>
      </w:r>
      <w:bookmarkEnd w:id="12"/>
    </w:p>
    <w:p>
      <w:pPr/>
      <w:r>
        <w:rPr/>
        <w:t xml:space="preserve">Consent not mentioned</w:t>
      </w:r>
    </w:p>
    <w:p>
      <w:pPr>
        <w:pStyle w:val="Heading2"/>
      </w:pPr>
      <w:bookmarkStart w:id="13" w:name="_Toc15"/>
      <w:r>
        <w:t>URL</w:t>
      </w:r>
      <w:bookmarkEnd w:id="13"/>
    </w:p>
    <w:p>
      <w:pPr/>
      <w:r>
        <w:rPr/>
        <w:t xml:space="preserve">https://pure.au.dk/portal/da/projects/digital-understoettelse-af-faglighed-og-almendannelse(a374955d-15fe-419e-ad07-afc332cb3c1a).html</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DUFA project developed 10 exemplary courses that can show how people in different upper secondary school subjects and educational areas can act and think in relation to the problem of making digitalisation strengthen professionalism and general education. The purpose of the exemplary courses is thus to provide a concrete basis for inspiration.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2025-10-14T03:53:52+00:00</dcterms:created>
  <dcterms:modified xsi:type="dcterms:W3CDTF">2025-10-14T03:53:52+00:00</dcterms:modified>
</cp:coreProperties>
</file>

<file path=docProps/custom.xml><?xml version="1.0" encoding="utf-8"?>
<Properties xmlns="http://schemas.openxmlformats.org/officeDocument/2006/custom-properties" xmlns:vt="http://schemas.openxmlformats.org/officeDocument/2006/docPropsVTypes"/>
</file>