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Yeni Medyada Çocuk Haberciliği: “Milliyet Çocuk”,“Hürriyet Çocuk” ve “Cicicee Çocuk Deyince” Sayfalarının İncelenmesi</w:t>
      </w:r>
    </w:p>
    <w:p>
      <w:pPr>
        <w:pStyle w:val="Title"/>
      </w:pPr>
      <w:r>
        <w:t>Engl. transl.: Children Journalism in New Media: An Analysis on the WebPages of “Milliyet Çocuk”, “Hürriyet Çocuk” and “Cicicee Çocuk Deyince”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Comparative analysis of news content about children and prepared for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2025-10-28T13:56:57+00:00</dcterms:created>
  <dcterms:modified xsi:type="dcterms:W3CDTF">2025-10-28T13:56:57+00:00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