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The Pattern of Relationship between Attachment Styles, Gaming Addiction and Empathetic Tendency among Adolescents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2019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Turkey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Other</w:t>
      </w:r>
    </w:p>
    <w:p>
      <w:pPr>
        <w:pStyle w:val="Heading2"/>
      </w:pPr>
      <w:bookmarkStart w:id="9" w:name="_Toc10"/>
      <w:r>
        <w:t>Other Childrens Age Group</w:t>
      </w:r>
      <w:bookmarkEnd w:id="9"/>
    </w:p>
    <w:p>
      <w:pPr/>
      <w:r>
        <w:rPr/>
        <w:t xml:space="preserve">10-17 years old</w:t>
      </w:r>
    </w:p>
    <w:p>
      <w:pPr>
        <w:pStyle w:val="Heading2"/>
      </w:pPr>
      <w:bookmarkStart w:id="10" w:name="_Toc11"/>
      <w:r>
        <w:t>Has Formal Ethical Clearance</w:t>
      </w:r>
      <w:bookmarkEnd w:id="10"/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3"/>
      <w:r>
        <w:t>Ethics</w:t>
      </w:r>
      <w:bookmarkEnd w:id="12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3" w:name="_Toc14"/>
      <w:r>
        <w:t>Data Set Availability</w:t>
      </w:r>
      <w:bookmarkEnd w:id="13"/>
    </w:p>
    <w:p>
      <w:pPr/>
      <w:r>
        <w:rPr/>
        <w:t xml:space="preserve">Not mentioned</w:t>
      </w:r>
    </w:p>
    <w:p>
      <w:pPr>
        <w:pStyle w:val="Heading1"/>
      </w:pPr>
      <w:bookmarkStart w:id="14" w:name="_Toc15"/>
      <w:r>
        <w:t>Goals</w:t>
      </w:r>
      <w:bookmarkEnd w:id="14"/>
    </w:p>
    <w:p>
      <w:pPr/>
      <w:r>
        <w:rPr/>
        <w:t xml:space="preserve">"The purpose of this research was to investigate the pattern of relationship between attachment styles, gaming addiction and empathy among adolescents." (Taş, 2019, p.125)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2024-05-18T04:45:21+00:00</dcterms:created>
  <dcterms:modified xsi:type="dcterms:W3CDTF">2024-05-18T04:45:21+00:00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