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Online challenge related self-harm in children and adolescents: two case reports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Turkey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/><w:r><w:rPr/><w:t xml:space="preserve">Case study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Kids (6-10 Years old)</w:t></w:r></w:p><w:p><w:pPr><w:pStyle w:val="Heading2"/></w:pPr><w:bookmarkStart w:id="9" w:name="_Toc10"/><w:r><w:t>Informed Consent</w:t></w:r><w:bookmarkEnd w:id="9"/></w:p><w:p><w:pPr/><w:r><w:rPr/><w:t xml:space="preserve">No consent needed</w:t></w:r></w:p><w:p><w:pPr><w:pStyle w:val="Heading2"/></w:pPr><w:bookmarkStart w:id="10" w:name="_Toc11"/><w:r><w:t>Ethics</w:t></w:r><w:bookmarkEnd w:id="10"/></w:p><w:p><w:pPr/><w:r><w:rPr/><w:t xml:space="preserve">Ethical considerations not mentioned</w:t></w:r></w:p><w:p><w:pPr><w:pStyle w:val="Heading2"/></w:pPr><w:bookmarkStart w:id="11" w:name="_Toc12"/><w:r><w:t>Data Set Availability</w:t></w:r><w:bookmarkEnd w:id="11"/></w:p><w:p><w:pPr/><w:r><w:rPr/><w:t xml:space="preserve">Not mentioned</w:t></w:r></w:p><w:p><w:pPr><w:pStyle w:val="Heading1"/></w:pPr><w:bookmarkStart w:id="12" w:name="_Toc13"/><w:r><w:t>Goals</w:t></w:r><w:bookmarkEnd w:id="12"/></w:p><w:p><w:pPr/><w:r><w:rPr/><w:t xml:space="preserve">"In this case report, it is aimed to discuss two cases who applied to our outpatient clinic with self-harming behavior thought to be related to online challenge games." (Poyraz Fındık & Çeri, 2019, p.556)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2025-10-19T09:39:19+00:00</dcterms:created>
  <dcterms:modified xsi:type="dcterms:W3CDTF">2025-10-19T09:39:19+00:00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