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Use of social media and autistic traits in adolescents diagnosed with major depressive disorder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Turkey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13-18 years old</w:t></w:r></w:p><w:p><w:pPr><w:pStyle w:val="Heading2"/></w:pPr><w:bookmarkStart w:id="10" w:name="_Toc11"/><w:r><w:t>Has Formal Ethical Clearance</w:t></w:r><w:bookmarkEnd w:id="10"/></w:p><w:p><w:pPr><w:pStyle w:val="Heading2"/></w:pPr><w:bookmarkStart w:id="11" w:name="_Toc12"/><w:r><w:t>Consents</w:t></w:r><w:bookmarkEnd w:id="11"/></w:p><w:p><w:pPr><w:numPr><w:ilvl w:val="0"/><w:numId w:val="5"/></w:numPr></w:pPr><w:r><w:rPr/><w:t xml:space="preserve">Consent obtained from parents</w:t></w:r></w:p><w:p><w:pPr><w:numPr><w:ilvl w:val="0"/><w:numId w:val="5"/></w:numPr></w:pPr><w:r><w:rPr/><w:t xml:space="preserve">Consent obtained from children</w:t></w:r></w:p><w:p><w:pPr><w:numPr><w:ilvl w:val="0"/><w:numId w:val="5"/></w:numPr></w:pPr><w:r><w:rPr/><w:t xml:space="preserve">Other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Ethics</w:t></w:r><w:bookmarkEnd w:id="13"/></w:p><w:p><w:pPr/><w:r><w:rPr/><w:t xml:space="preserve">Ethical considerations and/or protocol mentioned in the research design</w:t></w:r></w:p><w:p><w:pPr><w:pStyle w:val="Heading2"/></w:pPr><w:bookmarkStart w:id="14" w:name="_Toc15"/><w:r><w:t>Data Set Availability</w:t></w:r><w:bookmarkEnd w:id="14"/></w:p><w:p><w:pPr/><w:r><w:rPr/><w:t xml:space="preserve">Not mentioned</w:t></w:r></w:p><w:p><w:pPr><w:pStyle w:val="Heading1"/></w:pPr><w:bookmarkStart w:id="15" w:name="_Toc16"/><w:r><w:t>Goals</w:t></w:r><w:bookmarkEnd w:id="15"/></w:p><w:p><w:pPr/><w:r><w:rPr/><w:t xml:space="preserve">"This study aimed to investigate the rela-tionship between social media use and smart-phone use and characteristics specific to the autism spectrum in adolescents diagnosed with depressive disorder." (Şahin & Usta, 2020, p.642)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169B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2025-10-19T09:46:18+00:00</dcterms:created>
  <dcterms:modified xsi:type="dcterms:W3CDTF">2025-10-19T09:46:18+00:00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