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Ebeveyn Bakış Açısıyla 0-6 Yaş Döneminde Teknolojik Alet Kullanımının İncelenmesi</w:t></w:r></w:p><w:p><w:pPr><w:pStyle w:val="Title"/></w:pPr><w:r><w:t>Engl. transl.: Examining 0-6 Year Olds’ Use of Technological Devices from Parents’ Points of View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2016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Turkey</w:t></w:r></w:p><w:p><w:pPr><w:pStyle w:val="Heading2"/></w:pPr><w:bookmarkStart w:id="5" w:name="_Toc7"/><w:r><w:t>Type</w:t></w:r><w:bookmarkEnd w:id="5"/></w:p><w:p><w:pPr/><w:r><w:rPr/><w:t xml:space="preserve">Empirical research – Mixed methods</w:t></w:r></w:p><w:p><w:pPr><w:pStyle w:val="Heading2"/></w:pPr><w:bookmarkStart w:id="6" w:name="_Toc8"/><w:r><w:t>Methodologies</w:t></w:r><w:bookmarkEnd w:id="6"/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0-6 years old</w:t></w:r></w:p><w:p><w:pPr><w:pStyle w:val="Heading2"/></w:pPr><w:bookmarkStart w:id="10" w:name="_Toc12"/><w:r><w:t>Informed Consent</w:t></w:r><w:bookmarkEnd w:id="10"/></w:p><w:p><w:pPr/><w:r><w:rPr/><w:t xml:space="preserve">Consent not mentioned</w:t></w:r></w:p><w:p><w:pPr><w:pStyle w:val="Heading2"/></w:pPr><w:bookmarkStart w:id="11" w:name="_Toc13"/><w:r><w:t>Ethics</w:t></w:r><w:bookmarkEnd w:id="11"/></w:p><w:p><w:pPr/><w:r><w:rPr/><w:t xml:space="preserve">Ethical considerations not mentioned</w:t></w:r></w:p><w:p><w:pPr><w:pStyle w:val="Heading2"/></w:pPr><w:bookmarkStart w:id="12" w:name="_Toc14"/><w:r><w:t>Data Set Availability</w:t></w:r><w:bookmarkEnd w:id="12"/></w:p><w:p><w:pPr/><w:r><w:rPr/><w:t xml:space="preserve">Not mentioned</w:t></w:r></w:p><w:p><w:pPr><w:pStyle w:val="Heading1"/></w:pPr><w:bookmarkStart w:id="13" w:name="_Toc15"/><w:r><w:t>Goals</w:t></w:r><w:bookmarkEnd w:id="13"/></w:p><w:p><w:pPr/><w:r><w:rPr/><w:t xml:space="preserve">"This study aims to examine 0-6 year olds’ use of technological devices from parents’ points of view." (Aral & Doğan Keskin, 2018, p.342)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2025-10-18T11:51:47+00:00</dcterms:created>
  <dcterms:modified xsi:type="dcterms:W3CDTF">2025-10-18T11:51:47+00:00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