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 standalone="yes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<w:body><w:p><w:pPr><w:pStyle w:val="Title"/></w:pPr><w:r><w:t>Ebeveyn Bakış Açısıyla 0-6 Yaş Döneminde Teknolojik Alet Kullanımının İncelenmesi</w:t></w:r></w:p><w:p><w:pPr><w:pStyle w:val="Title"/></w:pPr><w:r><w:t>Engl. transl.: Examining 0-6 Year Olds’ Use of Technological Devices from Parents’ Points of View</w:t></w:r></w:p><w:p><w:pPr><w:pStyle w:val="Heading1"/></w:pPr><w:bookmarkStart w:id="1" w:name="_Toc3"/><w:r><w:t>Details</w:t></w:r><w:bookmarkEnd w:id="1"/></w:p><w:p><w:pPr><w:pStyle w:val="Heading2"/></w:pPr><w:bookmarkStart w:id="2" w:name="_Toc4"/><w:r><w:t>Year</w:t></w:r><w:bookmarkEnd w:id="2"/></w:p><w:p><w:pPr/><w:r><w:rPr/><w:t xml:space="preserve">2016</w:t></w:r></w:p><w:p><w:pPr><w:pStyle w:val="Heading2"/></w:pPr><w:bookmarkStart w:id="3" w:name="_Toc5"/><w:r><w:t>Scope</w:t></w:r><w:bookmarkEnd w:id="3"/></w:p><w:p><w:pPr/><w:r><w:rPr/><w:t xml:space="preserve">National</w:t></w:r></w:p><w:p><w:pPr><w:pStyle w:val="Heading2"/></w:pPr><w:bookmarkStart w:id="4" w:name="_Toc6"/><w:r><w:t>Countries</w:t></w:r><w:bookmarkEnd w:id="4"/></w:p><w:p><w:pPr/><w:r><w:rPr/><w:t xml:space="preserve">Turkey</w:t></w:r></w:p><w:p><w:pPr><w:pStyle w:val="Heading2"/></w:pPr><w:bookmarkStart w:id="5" w:name="_Toc7"/><w:r><w:t>Type</w:t></w:r><w:bookmarkEnd w:id="5"/></w:p><w:p><w:pPr/><w:r><w:rPr/><w:t xml:space="preserve">Empirical research – Mixed methods</w:t></w:r></w:p><w:p><w:pPr><w:pStyle w:val="Heading2"/></w:pPr><w:bookmarkStart w:id="6" w:name="_Toc8"/><w:r><w:t>Methodologies</w:t></w:r><w:bookmarkEnd w:id="6"/></w:p><w:p><w:pPr><w:pStyle w:val="Heading2"/></w:pPr><w:bookmarkStart w:id="7" w:name="_Toc9"/><w:r><w:t>Researched Groups</w:t></w:r><w:bookmarkEnd w:id="7"/></w:p><w:p><w:pPr/><w:r><w:rPr/><w:t xml:space="preserve">Children</w:t></w:r></w:p><w:p><w:pPr><w:pStyle w:val="Heading2"/></w:pPr><w:bookmarkStart w:id="8" w:name="_Toc10"/><w:r><w:t>Children Ages</w:t></w:r><w:bookmarkEnd w:id="8"/></w:p><w:p><w:pPr/><w:r><w:rPr/><w:t xml:space="preserve">Other</w:t></w:r></w:p><w:p><w:pPr><w:pStyle w:val="Heading2"/></w:pPr><w:bookmarkStart w:id="9" w:name="_Toc11"/><w:r><w:t>Other Childrens Age Group</w:t></w:r><w:bookmarkEnd w:id="9"/></w:p><w:p><w:pPr/><w:r><w:rPr/><w:t xml:space="preserve">0-6 years old</w:t></w:r></w:p><w:p><w:pPr><w:pStyle w:val="Heading2"/></w:pPr><w:bookmarkStart w:id="10" w:name="_Toc12"/><w:r><w:t>Informed Consent</w:t></w:r><w:bookmarkEnd w:id="10"/></w:p><w:p><w:pPr/><w:r><w:rPr/><w:t xml:space="preserve">Consent not mentioned</w:t></w:r></w:p><w:p><w:pPr><w:pStyle w:val="Heading2"/></w:pPr><w:bookmarkStart w:id="11" w:name="_Toc13"/><w:r><w:t>Ethics</w:t></w:r><w:bookmarkEnd w:id="11"/></w:p><w:p><w:pPr/><w:r><w:rPr/><w:t xml:space="preserve">Ethical considerations not mentioned</w:t></w:r></w:p><w:p><w:pPr><w:pStyle w:val="Heading2"/></w:pPr><w:bookmarkStart w:id="12" w:name="_Toc14"/><w:r><w:t>Data Set Availability</w:t></w:r><w:bookmarkEnd w:id="12"/></w:p><w:p><w:pPr/><w:r><w:rPr/><w:t xml:space="preserve">Not mentioned</w:t></w:r></w:p><w:p><w:pPr><w:pStyle w:val="Heading1"/></w:pPr><w:bookmarkStart w:id="13" w:name="_Toc15"/><w:r><w:t>Goals</w:t></w:r><w:bookmarkEnd w:id="13"/></w:p><w:p><w:pPr/><w:r><w:rPr/><w:t xml:space="preserve">"This study aims to examine 0-6 year olds’ use of technological devices from parents’ points of view." (Aral & Doğan Keskin, 2018, p.342)</w:t></w:r></w:p><w:sectPr><w:headerReference w:type="default" r:id="rId7"/><w:footerReference w:type="default" r:id="rId8"/><w:pgSz w:orient="portrait" w:w="11905.511811023622" w:h="16837.79527559055"/><w:pgMar w:top="1440" w:right="1440" w:bottom="1440" w:left="1440" w:header="720" w:footer="720" w:gutter="0"/><w:cols w:num="1" w:space="720"/></w:sectPr></w:body>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fldChar w:fldCharType="begin"/>
    </w:r>
    <w:r>
      <w:instrText xml:space="preserve">PAGE</w:instrText>
    </w:r>
    <w:r>
      <w:fldChar w:fldCharType="separate"/>
    </w:r>
    <w:r>
      <w:fldChar w:fldCharType="end"/>
    </w:r>
    <w:r>
      <w:t xml:space="preserve"> of </w:t>
    </w:r>
    <w:r>
      <w:fldChar w:fldCharType="begin"/>
    </w:r>
    <w:r>
      <w:instrText xml:space="preserve">NUMPAGES</w:instrText>
    </w:r>
    <w:r>
      <w:fldChar w:fldCharType="separate"/>
    </w:r>
    <w:r>
      <w:fldChar w:fldCharType="end"/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pStyle w:val="leftRight"/>
    </w:pPr>
    <w:r>
      <w:rPr/>
      <w:t xml:space="preserve">CO:RE Evidence Base	Downloaded on 06 Apr 2025</w:t>
    </w:r>
  </w:p>
  <w:p>
    <w:pPr/>
    <w:r>
      <w:rPr/>
      <w:t xml:space="preserve">Study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Title">
    <w:link w:val="titleChar"/>
    <w:name w:val="title"/>
    <w:basedOn w:val="Normal"/>
    <w:pPr>
      <w:spacing w:after="400"/>
    </w:pPr>
    <w:rPr>
      <w:sz w:val="32"/>
      <w:szCs w:val="32"/>
      <w:b w:val="1"/>
      <w:bCs w:val="1"/>
    </w:rPr>
  </w:style>
  <w:style w:type="paragraph" w:styleId="Heading1">
    <w:link w:val="Heading1Char"/>
    <w:name w:val="heading 1"/>
    <w:basedOn w:val="Normal"/>
    <w:pPr>
      <w:spacing w:before="480"/>
    </w:pPr>
    <w:rPr>
      <w:sz w:val="24"/>
      <w:szCs w:val="24"/>
      <w:b w:val="1"/>
      <w:bCs w:val="1"/>
    </w:rPr>
  </w:style>
  <w:style w:type="paragraph" w:styleId="Heading2">
    <w:link w:val="Heading2Char"/>
    <w:name w:val="heading 2"/>
    <w:basedOn w:val="Normal"/>
    <w:pPr>
      <w:spacing w:before="200"/>
    </w:pPr>
    <w:rPr>
      <w:sz w:val="20"/>
      <w:szCs w:val="20"/>
      <w:b w:val="1"/>
      <w:bCs w:val="1"/>
    </w:rPr>
  </w:style>
  <w:style w:type="paragraph" w:customStyle="1" w:styleId="leftRight">
    <w:name w:val="leftRight"/>
    <w:basedOn w:val="Normal"/>
    <w:pPr>
      <w:tabs>
        <w:tab w:val="right" w:leader="none" w:pos="9025.511811023622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2025-04-06T19:55:15+00:00</dcterms:created>
  <dcterms:modified xsi:type="dcterms:W3CDTF">2025-04-06T19:55:15+00:00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