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Ortaokul Öğrencilerinin Bilgisayar Oyun Bağımlılığı ile Benlik Algıları Arasındaki İlişkinin İncelenmesi</w:t></w:r></w:p><w:p><w:pPr><w:pStyle w:val="Title"/></w:pPr><w:r><w:t>Engl. transl.: Investigation of the Relationship Between Computer Game Addiction and Self Perception of Secondary School Students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2018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Turkey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/><w:r><w:rPr/><w:t xml:space="preserve">Children</w:t></w:r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10-12 years old</w:t></w:r></w:p><w:p><w:pPr><w:pStyle w:val="Heading2"/></w:pPr><w:bookmarkStart w:id="10" w:name="_Toc12"/><w:r><w:t>Informed Consent</w:t></w:r><w:bookmarkEnd w:id="10"/></w:p><w:p><w:pPr/><w:r><w:rPr/><w:t xml:space="preserve">Consent not mentioned</w:t></w:r></w:p><w:p><w:pPr><w:pStyle w:val="Heading2"/></w:pPr><w:bookmarkStart w:id="11" w:name="_Toc13"/><w:r><w:t>Ethics</w:t></w:r><w:bookmarkEnd w:id="11"/></w:p><w:p><w:pPr/><w:r><w:rPr/><w:t xml:space="preserve">Ethical considerations not mentioned</w:t></w:r></w:p><w:p><w:pPr><w:pStyle w:val="Heading2"/></w:pPr><w:bookmarkStart w:id="12" w:name="_Toc14"/><w:r><w:t>Data Set Availability</w:t></w:r><w:bookmarkEnd w:id="12"/></w:p><w:p><w:pPr/><w:r><w:rPr/><w:t xml:space="preserve">Not mentioned</w:t></w:r></w:p><w:p><w:pPr><w:pStyle w:val="Heading1"/></w:pPr><w:bookmarkStart w:id="13" w:name="_Toc15"/><w:r><w:t>Goals</w:t></w:r><w:bookmarkEnd w:id="13"/></w:p><w:p><w:pPr/><w:r><w:rPr/><w:t xml:space="preserve">"The main purpose of this research is to examine the relationship between fifth grade students' self-perceptions and computer game addiction." (Aksoy & Yılmaz Bursa, 2020, p.209) (translated by the coder)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2025-10-22T08:27:46+00:00</dcterms:created>
  <dcterms:modified xsi:type="dcterms:W3CDTF">2025-10-22T08:27:46+00:00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