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Bruner’in Zihinsel Gelişim İlkelerine Göre Yapılan Bilgisayar Destekli Eğitimin 3. Sınıf Geometri Dersi Başarısına ve Öğrenilenlerin Kalıcılığına Etkisi</w:t>
      </w:r>
    </w:p>
    <w:p>
      <w:pPr>
        <w:pStyle w:val="Title"/>
      </w:pPr>
      <w:r>
        <w:t>Engl. transl.: The Effect of Computer Assisted Instruction According To Bruner's Cognitive Development Principles on 3rd Grade Geometry Course Achievement And Permanency Of Learned</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Turkey</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r>
        <w:rPr/>
        <w:t xml:space="preserve">Experimental / Quasi-experimental</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8 years old</w:t>
      </w:r>
    </w:p>
    <w:p>
      <w:pPr>
        <w:pStyle w:val="Heading2"/>
      </w:pPr>
      <w:bookmarkStart w:id="10" w:name="_Toc12"/>
      <w:r>
        <w:t>Informed Consent</w:t>
      </w:r>
      <w:bookmarkEnd w:id="10"/>
    </w:p>
    <w:p>
      <w:pPr/>
      <w:r>
        <w:rPr/>
        <w:t xml:space="preserve">Consent not mentioned</w:t>
      </w:r>
    </w:p>
    <w:p>
      <w:pPr>
        <w:pStyle w:val="Heading2"/>
      </w:pPr>
      <w:bookmarkStart w:id="11" w:name="_Toc13"/>
      <w:r>
        <w:t>Ethics</w:t>
      </w:r>
      <w:bookmarkEnd w:id="11"/>
    </w:p>
    <w:p>
      <w:pPr/>
      <w:r>
        <w:rPr/>
        <w:t xml:space="preserve">Ethical considerations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purpose of this research is to determine the effect of computer assisted instruction according to Bruner's cognitive development principles on 3rd grade students' achievement and permanence level of information which they have learned in the geometry learning field." (Çekirdekçi et al., 2016, p.96)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2025-10-28T04:23:54+00:00</dcterms:created>
  <dcterms:modified xsi:type="dcterms:W3CDTF">2025-10-28T04:23:54+00:00</dcterms:modified>
</cp:coreProperties>
</file>

<file path=docProps/custom.xml><?xml version="1.0" encoding="utf-8"?>
<Properties xmlns="http://schemas.openxmlformats.org/officeDocument/2006/custom-properties" xmlns:vt="http://schemas.openxmlformats.org/officeDocument/2006/docPropsVTypes"/>
</file>