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Internet use and digital participation in everyday life: Adolescents and young adults with intellectual disabilities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Young adults (19-24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Linköping University, Region Östergötland, Sveriges Arbetsterapeuter, and Foundation Solstickan.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>
        <w:numPr>
          <w:ilvl w:val="0"/>
          <w:numId w:val="5"/>
        </w:numPr>
      </w:pPr>
      <w:r>
        <w:rPr/>
        <w:t xml:space="preserve">University</w:t>
      </w:r>
    </w:p>
    <w:p>
      <w:pPr>
        <w:numPr>
          <w:ilvl w:val="0"/>
          <w:numId w:val="5"/>
        </w:numPr>
      </w:pPr>
      <w:r>
        <w:rPr/>
        <w:t xml:space="preserve">Regional Government</w:t>
      </w:r>
    </w:p>
    <w:p>
      <w:pPr>
        <w:numPr>
          <w:ilvl w:val="0"/>
          <w:numId w:val="5"/>
        </w:numPr>
      </w:pPr>
      <w:r>
        <w:rPr/>
        <w:t xml:space="preserve">Foundation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11" w:name="_Toc12"/>
      <w:r>
        <w:t>Other Funder Type</w:t>
      </w:r>
      <w:bookmarkEnd w:id="11"/>
    </w:p>
    <w:p>
      <w:pPr/>
      <w:r>
        <w:rPr/>
        <w:t xml:space="preserve">Trade union</w:t>
      </w:r>
    </w:p>
    <w:p>
      <w:pPr>
        <w:pStyle w:val="Heading2"/>
      </w:pPr>
      <w:bookmarkStart w:id="12" w:name="_Toc13"/>
      <w:r>
        <w:t>Has Formal Ethical Clearance</w:t>
      </w:r>
      <w:bookmarkEnd w:id="12"/>
    </w:p>
    <w:p>
      <w:pPr>
        <w:pStyle w:val="Heading2"/>
      </w:pPr>
      <w:bookmarkStart w:id="13" w:name="_Toc14"/>
      <w:r>
        <w:t>Consents</w:t>
      </w:r>
      <w:bookmarkEnd w:id="13"/>
    </w:p>
    <w:p>
      <w:pPr>
        <w:pStyle w:val="Heading2"/>
      </w:pPr>
      <w:bookmarkStart w:id="14" w:name="_Toc15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2"/>
      </w:pPr>
      <w:bookmarkStart w:id="15" w:name="_Toc16"/>
      <w:r>
        <w:t>Ethics</w:t>
      </w:r>
      <w:bookmarkEnd w:id="15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6" w:name="_Toc17"/>
      <w:r>
        <w:t>URL</w:t>
      </w:r>
      <w:bookmarkEnd w:id="16"/>
    </w:p>
    <w:p>
      <w:pPr/>
      <w:r>
        <w:rPr/>
        <w:t xml:space="preserve">http://liu.diva-portal.org/smash/get/diva2:1458066/FULLTEXT01.pdf</w:t>
      </w:r>
    </w:p>
    <w:p>
      <w:pPr>
        <w:pStyle w:val="Heading2"/>
      </w:pPr>
      <w:bookmarkStart w:id="17" w:name="_Toc18"/>
      <w:r>
        <w:t>Data Set Availability</w:t>
      </w:r>
      <w:bookmarkEnd w:id="17"/>
    </w:p>
    <w:p>
      <w:pPr/>
      <w:r>
        <w:rPr/>
        <w:t xml:space="preserve">Not mentioned</w:t>
      </w:r>
    </w:p>
    <w:p>
      <w:pPr>
        <w:pStyle w:val="Heading1"/>
      </w:pPr>
      <w:bookmarkStart w:id="18" w:name="_Toc19"/>
      <w:r>
        <w:t>Goals</w:t>
      </w:r>
      <w:bookmarkEnd w:id="18"/>
    </w:p>
    <w:p>
      <w:pPr/>
      <w:r>
        <w:rPr/>
        <w:t xml:space="preserve">"To explore and describe internet access and use, and digital participation in everyday life among adolescents and young adults with intellectual disabilities."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BF46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2025-10-15T19:35:50+00:00</dcterms:created>
  <dcterms:modified xsi:type="dcterms:W3CDTF">2025-10-15T19:35:50+00:00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