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Internet use and digital participation in everyday life: Adolescents and young adults with intellectual disabilities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2017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Sweden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Mixed methods</w:t>
      </w:r>
    </w:p>
    <w:p>
      <w:pPr>
        <w:pStyle w:val="Heading2"/>
      </w:pPr>
      <w:bookmarkStart w:id="6" w:name="_Toc7"/>
      <w:r>
        <w:t>Methodologies</w:t>
      </w:r>
      <w:bookmarkEnd w:id="6"/>
    </w:p>
    <w:p>
      <w:pPr>
        <w:numPr>
          <w:ilvl w:val="0"/>
          <w:numId w:val="5"/>
        </w:numPr>
      </w:pPr>
      <w:r>
        <w:rPr/>
        <w:t xml:space="preserve">Survey</w:t>
      </w:r>
    </w:p>
    <w:p>
      <w:pPr>
        <w:numPr>
          <w:ilvl w:val="0"/>
          <w:numId w:val="5"/>
        </w:numPr>
      </w:pPr>
      <w:r>
        <w:rPr/>
        <w:t xml:space="preserve">Ethnography / participant observation</w:t>
      </w:r>
    </w:p>
    <w:p>
      <w:pPr>
        <w:numPr>
          <w:ilvl w:val="0"/>
          <w:numId w:val="5"/>
        </w:numPr>
      </w:pPr>
      <w:r>
        <w:rPr/>
        <w:t xml:space="preserve">Interview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>
        <w:pStyle w:val="Heading2"/>
      </w:pPr>
      <w:bookmarkStart w:id="8" w:name="_Toc9"/>
      <w:r>
        <w:t>Children Ages</w:t>
      </w:r>
      <w:bookmarkEnd w:id="8"/>
    </w:p>
    <w:p>
      <w:pPr>
        <w:numPr>
          <w:ilvl w:val="0"/>
          <w:numId w:val="5"/>
        </w:numPr>
      </w:pPr>
      <w:r>
        <w:rPr/>
        <w:t xml:space="preserve">Adolescents (14-18 Years old)</w:t>
      </w:r>
    </w:p>
    <w:p>
      <w:pPr>
        <w:numPr>
          <w:ilvl w:val="0"/>
          <w:numId w:val="5"/>
        </w:numPr>
      </w:pPr>
      <w:r>
        <w:rPr/>
        <w:t xml:space="preserve">Young adults (19-24 Years old)</w:t>
      </w:r>
    </w:p>
    <w:p>
      <w:pPr>
        <w:numPr>
          <w:ilvl w:val="0"/>
          <w:numId w:val="5"/>
        </w:numPr>
      </w:pPr>
      <w:r>
        <w:rPr/>
        <w:t xml:space="preserve">Pre-adolescents (11-13 Years old)</w:t>
      </w:r>
    </w:p>
    <w:p>
      <w:pPr>
        <w:pStyle w:val="Heading2"/>
      </w:pPr>
      <w:bookmarkStart w:id="9" w:name="_Toc10"/>
      <w:r>
        <w:t>Funder</w:t>
      </w:r>
      <w:bookmarkEnd w:id="9"/>
    </w:p>
    <w:p>
      <w:pPr/>
      <w:r>
        <w:rPr/>
        <w:t xml:space="preserve">Linköping University, Region Östergötland, Sveriges Arbetsterapeuter, and Foundation Solstickan.</w:t>
      </w:r>
    </w:p>
    <w:p>
      <w:pPr>
        <w:pStyle w:val="Heading2"/>
      </w:pPr>
      <w:bookmarkStart w:id="10" w:name="_Toc11"/>
      <w:r>
        <w:t>Funder Types</w:t>
      </w:r>
      <w:bookmarkEnd w:id="10"/>
    </w:p>
    <w:p>
      <w:pPr>
        <w:numPr>
          <w:ilvl w:val="0"/>
          <w:numId w:val="5"/>
        </w:numPr>
      </w:pPr>
      <w:r>
        <w:rPr/>
        <w:t xml:space="preserve">University</w:t>
      </w:r>
    </w:p>
    <w:p>
      <w:pPr>
        <w:numPr>
          <w:ilvl w:val="0"/>
          <w:numId w:val="5"/>
        </w:numPr>
      </w:pPr>
      <w:r>
        <w:rPr/>
        <w:t xml:space="preserve">Regional Government</w:t>
      </w:r>
    </w:p>
    <w:p>
      <w:pPr>
        <w:numPr>
          <w:ilvl w:val="0"/>
          <w:numId w:val="5"/>
        </w:numPr>
      </w:pPr>
      <w:r>
        <w:rPr/>
        <w:t xml:space="preserve">Foundation</w:t>
      </w:r>
    </w:p>
    <w:p>
      <w:pPr>
        <w:numPr>
          <w:ilvl w:val="0"/>
          <w:numId w:val="5"/>
        </w:numPr>
      </w:pPr>
      <w:r>
        <w:rPr/>
        <w:t xml:space="preserve">Other</w:t>
      </w:r>
    </w:p>
    <w:p>
      <w:pPr>
        <w:pStyle w:val="Heading2"/>
      </w:pPr>
      <w:bookmarkStart w:id="11" w:name="_Toc12"/>
      <w:r>
        <w:t>Other Funder Type</w:t>
      </w:r>
      <w:bookmarkEnd w:id="11"/>
    </w:p>
    <w:p>
      <w:pPr/>
      <w:r>
        <w:rPr/>
        <w:t xml:space="preserve">Trade union</w:t>
      </w:r>
    </w:p>
    <w:p>
      <w:pPr>
        <w:pStyle w:val="Heading2"/>
      </w:pPr>
      <w:bookmarkStart w:id="12" w:name="_Toc13"/>
      <w:r>
        <w:t>Has Formal Ethical Clearance</w:t>
      </w:r>
      <w:bookmarkEnd w:id="12"/>
    </w:p>
    <w:p>
      <w:pPr>
        <w:pStyle w:val="Heading2"/>
      </w:pPr>
      <w:bookmarkStart w:id="13" w:name="_Toc14"/>
      <w:r>
        <w:t>Consents</w:t>
      </w:r>
      <w:bookmarkEnd w:id="13"/>
    </w:p>
    <w:p>
      <w:pPr>
        <w:pStyle w:val="Heading2"/>
      </w:pPr>
      <w:bookmarkStart w:id="14" w:name="_Toc15"/>
      <w:r>
        <w:t>Informed Consent</w:t>
      </w:r>
      <w:bookmarkEnd w:id="14"/>
    </w:p>
    <w:p>
      <w:pPr/>
      <w:r>
        <w:rPr/>
        <w:t xml:space="preserve">Consent obtained</w:t>
      </w:r>
    </w:p>
    <w:p>
      <w:pPr>
        <w:pStyle w:val="Heading2"/>
      </w:pPr>
      <w:bookmarkStart w:id="15" w:name="_Toc16"/>
      <w:r>
        <w:t>Ethics</w:t>
      </w:r>
      <w:bookmarkEnd w:id="15"/>
    </w:p>
    <w:p>
      <w:pPr/>
      <w:r>
        <w:rPr/>
        <w:t xml:space="preserve">Ethical considerations and/or protocol mentioned in the research design</w:t>
      </w:r>
    </w:p>
    <w:p>
      <w:pPr>
        <w:pStyle w:val="Heading2"/>
      </w:pPr>
      <w:bookmarkStart w:id="16" w:name="_Toc17"/>
      <w:r>
        <w:t>URL</w:t>
      </w:r>
      <w:bookmarkEnd w:id="16"/>
    </w:p>
    <w:p>
      <w:pPr/>
      <w:r>
        <w:rPr/>
        <w:t xml:space="preserve">http://liu.diva-portal.org/smash/get/diva2:1458066/FULLTEXT01.pdf</w:t>
      </w:r>
    </w:p>
    <w:p>
      <w:pPr>
        <w:pStyle w:val="Heading2"/>
      </w:pPr>
      <w:bookmarkStart w:id="17" w:name="_Toc18"/>
      <w:r>
        <w:t>Data Set Availability</w:t>
      </w:r>
      <w:bookmarkEnd w:id="17"/>
    </w:p>
    <w:p>
      <w:pPr/>
      <w:r>
        <w:rPr/>
        <w:t xml:space="preserve">Not mentioned</w:t>
      </w:r>
    </w:p>
    <w:p>
      <w:pPr>
        <w:pStyle w:val="Heading1"/>
      </w:pPr>
      <w:bookmarkStart w:id="18" w:name="_Toc19"/>
      <w:r>
        <w:t>Goals</w:t>
      </w:r>
      <w:bookmarkEnd w:id="18"/>
    </w:p>
    <w:p>
      <w:pPr/>
      <w:r>
        <w:rPr/>
        <w:t xml:space="preserve">"To explore and describe internet access and use, and digital participation in everyday life among adolescents and young adults with intellectual disabilities."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05278A4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2025-04-07T04:25:54+00:00</dcterms:created>
  <dcterms:modified xsi:type="dcterms:W3CDTF">2025-04-07T04:25:54+00:00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