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 literacy in the Romanian curricula</w:t>
      </w:r>
    </w:p>
    <w:p>
      <w:pPr>
        <w:pStyle w:val="Title"/>
      </w:pPr>
      <w:r>
        <w:t>Engl. transl.: Media literacy in the Romanian curricula</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Romania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Textual / documentary / content analysis</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1"/>
      </w:pPr>
      <w:bookmarkStart w:id="9" w:name="_Toc11"/>
      <w:r>
        <w:t>Goals</w:t>
      </w:r>
      <w:bookmarkEnd w:id="9"/>
    </w:p>
    <w:p>
      <w:pPr/>
      <w:r>
        <w:rPr/>
        <w:t xml:space="preserve">"Based on the literature review and on the content
analyses of the national curriculum, this study contrived media literacy strands and standards
including performance objectives and basic teaching and learning contents." (Rotaru, 2019, p.3)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9CD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2025-10-30T15:44:32+00:00</dcterms:created>
  <dcterms:modified xsi:type="dcterms:W3CDTF">2025-10-30T15:44:32+00:00</dcterms:modified>
</cp:coreProperties>
</file>

<file path=docProps/custom.xml><?xml version="1.0" encoding="utf-8"?>
<Properties xmlns="http://schemas.openxmlformats.org/officeDocument/2006/custom-properties" xmlns:vt="http://schemas.openxmlformats.org/officeDocument/2006/docPropsVTypes"/>
</file>