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Media literacy in the Romanian curricula</w:t>
      </w:r>
    </w:p>
    <w:p>
      <w:pPr>
        <w:pStyle w:val="Title"/>
      </w:pPr>
      <w:r>
        <w:t>Engl. transl.: Media literacy in the Romanian curricula</w:t>
      </w:r>
    </w:p>
    <w:p>
      <w:pPr>
        <w:pStyle w:val="Heading1"/>
      </w:pPr>
      <w:bookmarkStart w:id="1" w:name="_Toc3"/>
      <w:r>
        <w:t>Details</w:t>
      </w:r>
      <w:bookmarkEnd w:id="1"/>
    </w:p>
    <w:p>
      <w:pPr>
        <w:pStyle w:val="Heading2"/>
      </w:pPr>
      <w:bookmarkStart w:id="2" w:name="_Toc4"/>
      <w:r>
        <w:t>Year</w:t>
      </w:r>
      <w:bookmarkEnd w:id="2"/>
    </w:p>
    <w:p>
      <w:pPr/>
      <w:r>
        <w:rPr/>
        <w:t xml:space="preserve">2019</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Romania</w:t>
      </w:r>
    </w:p>
    <w:p>
      <w:pPr>
        <w:pStyle w:val="Heading2"/>
      </w:pPr>
      <w:bookmarkStart w:id="5" w:name="_Toc7"/>
      <w:r>
        <w:t>Type</w:t>
      </w:r>
      <w:bookmarkEnd w:id="5"/>
    </w:p>
    <w:p>
      <w:pPr/>
      <w:r>
        <w:rPr/>
        <w:t xml:space="preserve">Empirical research – Quantitative</w:t>
      </w:r>
    </w:p>
    <w:p>
      <w:pPr>
        <w:pStyle w:val="Heading2"/>
      </w:pPr>
      <w:bookmarkStart w:id="6" w:name="_Toc8"/>
      <w:r>
        <w:t>Methodologies</w:t>
      </w:r>
      <w:bookmarkEnd w:id="6"/>
    </w:p>
    <w:p>
      <w:pPr/>
      <w:r>
        <w:rPr/>
        <w:t xml:space="preserve">Textual / documentary / content analysis</w:t>
      </w:r>
    </w:p>
    <w:p>
      <w:pPr>
        <w:pStyle w:val="Heading2"/>
      </w:pPr>
      <w:bookmarkStart w:id="7" w:name="_Toc9"/>
      <w:r>
        <w:t>Researched Groups</w:t>
      </w:r>
      <w:bookmarkEnd w:id="7"/>
    </w:p>
    <w:p>
      <w:pPr/>
      <w:r>
        <w:rPr/>
        <w:t xml:space="preserve">Children</w:t>
      </w:r>
    </w:p>
    <w:p>
      <w:pPr>
        <w:pStyle w:val="Heading2"/>
      </w:pPr>
      <w:bookmarkStart w:id="8" w:name="_Toc10"/>
      <w:r>
        <w:t>Children Ages</w:t>
      </w:r>
      <w:bookmarkEnd w:id="8"/>
    </w:p>
    <w:p>
      <w:pPr>
        <w:numPr>
          <w:ilvl w:val="0"/>
          <w:numId w:val="5"/>
        </w:numPr>
      </w:pPr>
      <w:r>
        <w:rPr/>
        <w:t xml:space="preserve">Kids (6-10 Years old)</w:t>
      </w:r>
    </w:p>
    <w:p>
      <w:pPr>
        <w:numPr>
          <w:ilvl w:val="0"/>
          <w:numId w:val="5"/>
        </w:numPr>
      </w:pPr>
      <w:r>
        <w:rPr/>
        <w:t xml:space="preserve">Pre-adolescents (11-13 Years old)</w:t>
      </w:r>
    </w:p>
    <w:p>
      <w:pPr>
        <w:numPr>
          <w:ilvl w:val="0"/>
          <w:numId w:val="5"/>
        </w:numPr>
      </w:pPr>
      <w:r>
        <w:rPr/>
        <w:t xml:space="preserve">Adolescents (14-18 Years old)</w:t>
      </w:r>
    </w:p>
    <w:p>
      <w:pPr>
        <w:pStyle w:val="Heading1"/>
      </w:pPr>
      <w:bookmarkStart w:id="9" w:name="_Toc11"/>
      <w:r>
        <w:t>Goals</w:t>
      </w:r>
      <w:bookmarkEnd w:id="9"/>
    </w:p>
    <w:p>
      <w:pPr/>
      <w:r>
        <w:rPr/>
        <w:t xml:space="preserve">"Based on the literature review and on the content
analyses of the national curriculum, this study contrived media literacy strands and standards
including performance objectives and basic teaching and learning contents." (Rotaru, 2019, p.3)</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06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5BCF4A9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2025-04-06T23:14:49+00:00</dcterms:created>
  <dcterms:modified xsi:type="dcterms:W3CDTF">2025-04-06T23:14:49+00:00</dcterms:modified>
</cp:coreProperties>
</file>

<file path=docProps/custom.xml><?xml version="1.0" encoding="utf-8"?>
<Properties xmlns="http://schemas.openxmlformats.org/officeDocument/2006/custom-properties" xmlns:vt="http://schemas.openxmlformats.org/officeDocument/2006/docPropsVTypes"/>
</file>