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Symptoms of Internet Gaming Disorder and Parenting Styles in Romanian Adolescents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Romania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10-14 years old</w:t>
      </w:r>
    </w:p>
    <w:p>
      <w:pPr>
        <w:pStyle w:val="Heading2"/>
      </w:pPr>
      <w:bookmarkStart w:id="10" w:name="_Toc11"/>
      <w:r>
        <w:t>Has Formal Ethical Clearance</w:t>
      </w:r>
      <w:bookmarkEnd w:id="10"/>
    </w:p>
    <w:p>
      <w:pPr>
        <w:pStyle w:val="Heading2"/>
      </w:pPr>
      <w:bookmarkStart w:id="11" w:name="_Toc12"/>
      <w:r>
        <w:t>Consents</w:t>
      </w:r>
      <w:bookmarkEnd w:id="11"/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4"/>
      <w:r>
        <w:t>Ethics</w:t>
      </w:r>
      <w:bookmarkEnd w:id="13"/>
    </w:p>
    <w:p>
      <w:pPr/>
      <w:r>
        <w:rPr/>
        <w:t xml:space="preserve">Ethical issues flagged in the paper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"Our aims were to explore the percentages of adolescents with symptoms of IGD
based on the DSM-5 criteria and to examine the relationship among age, gender,
parenting style, and symptoms of IGD among early Romanian adolescents." (p. 310)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2025-10-19T20:08:07+00:00</dcterms:created>
  <dcterms:modified xsi:type="dcterms:W3CDTF">2025-10-19T20:08:07+00:00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