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Pathological gambling in children and adolescents measuring instruments, prevalence and prevention (PHD study)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Not reported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Romania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11-19 years old</w:t></w:r></w:p><w:p><w:pPr><w:pStyle w:val="Heading2"/></w:pPr><w:bookmarkStart w:id="10" w:name="_Toc11"/><w:r><w:t>Consents</w:t></w:r><w:bookmarkEnd w:id="10"/></w:p><w:p><w:pPr><w:pStyle w:val="Heading2"/></w:pPr><w:bookmarkStart w:id="11" w:name="_Toc12"/><w:r><w:t>Informed Consent</w:t></w:r><w:bookmarkEnd w:id="11"/></w:p><w:p><w:pPr/><w:r><w:rPr/><w:t xml:space="preserve">Consent obtained</w:t></w:r></w:p><w:p><w:pPr><w:pStyle w:val="Heading2"/></w:pPr><w:bookmarkStart w:id="12" w:name="_Toc13"/><w:r><w:t>Ethics</w:t></w:r><w:bookmarkEnd w:id="12"/></w:p><w:p><w:pPr/><w:r><w:rPr/><w:t xml:space="preserve">Ethical considerations not mentioned</w:t></w:r></w:p><w:p><w:pPr><w:pStyle w:val="Heading1"/></w:pPr><w:bookmarkStart w:id="13" w:name="_Toc14"/><w:r><w:t>Goals</w:t></w:r><w:bookmarkEnd w:id="13"/></w:p><w:p><w:pPr/><w:r><w:rPr/><w:t xml:space="preserve">"The aim of the present study was to measure the national prevalence of problem and pathological gambling in children and adolescents (11–19 years)." (Lupu & Lupu, 2014)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2025-10-19T20:26:35+00:00</dcterms:created>
  <dcterms:modified xsi:type="dcterms:W3CDTF">2025-10-19T20:26:35+00:00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