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Media Citizenship and the Mediatization of School: Curricula, Educational Materials, Teachers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Sweden</w:t></w:r></w:p><w:p><w:pPr><w:pStyle w:val="Heading2"/></w:pPr><w:bookmarkStart w:id="5" w:name="_Toc6"/><w:r><w:t>Type</w:t></w:r><w:bookmarkEnd w:id="5"/></w:p><w:p><w:pPr/><w:r><w:rPr/><w:t xml:space="preserve">Other</w:t></w:r></w:p><w:p><w:pPr><w:pStyle w:val="Heading2"/></w:pPr><w:bookmarkStart w:id="6" w:name="_Toc7"/><w:r><w:t>Methodologies</w:t></w:r><w:bookmarkEnd w:id="6"/></w:p><w:p><w:pPr/><w:r><w:rPr/><w:t xml:space="preserve">Other</w:t></w:r></w:p><w:p><w:pPr><w:pStyle w:val="Heading2"/></w:pPr><w:bookmarkStart w:id="7" w:name="_Toc8"/><w:r><w:t>Other Methodology</w:t></w:r><w:bookmarkEnd w:id="7"/></w:p><w:p><w:pPr/><w:r><w:rPr/><w:t xml:space="preserve">"Historical and empirical"</w:t></w:r></w:p><w:p><w:pPr><w:pStyle w:val="Heading2"/></w:pPr><w:bookmarkStart w:id="8" w:name="_Toc9"/><w:r><w:t>Researched Groups</w:t></w:r><w:bookmarkEnd w:id="8"/></w:p><w:p><w:pPr/><w:r><w:rPr/><w:t xml:space="preserve">Schools (Institutions)</w:t></w:r></w:p><w:p><w:pPr><w:pStyle w:val="Heading2"/></w:pPr><w:bookmarkStart w:id="9" w:name="_Toc10"/><w:r><w:t>Funder</w:t></w:r><w:bookmarkEnd w:id="9"/></w:p><w:p><w:pPr/><w:r><w:rPr/><w:t xml:space="preserve">Riksbankens (the Swedish Central Bank) Jubileumsfond</w:t></w:r></w:p><w:p><w:pPr><w:pStyle w:val="Heading2"/></w:pPr><w:bookmarkStart w:id="10" w:name="_Toc11"/><w:r><w:t>Funder Types</w:t></w:r><w:bookmarkEnd w:id="10"/></w:p><w:p><w:pPr/><w:r><w:rPr/><w:t xml:space="preserve">Foundation</w:t></w:r></w:p><w:p><w:pPr><w:pStyle w:val="Heading2"/></w:pPr><w:bookmarkStart w:id="11" w:name="_Toc12"/><w:r><w:t>URL</w:t></w:r><w:bookmarkEnd w:id="11"/></w:p><w:p><w:pPr/><w:r><w:rPr/><w:t xml:space="preserve">http://sh.diva-portal.org/smash/project.jsf?pid=project%3A1774&dswid=-5044</w:t></w:r></w:p><w:p><w:pPr><w:pStyle w:val="Heading1"/></w:pPr><w:bookmarkStart w:id="12" w:name="_Toc13"/><w:r><w:t>Goals</w:t></w:r><w:bookmarkEnd w:id="12"/></w:p><w:p><w:pPr/><w:r><w:rPr/><w:t xml:space="preserve">Mediatization theory is combined with curriculum theory, to develop an understanding of what we call “the media citizen”.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2025-10-28T06:33:52+00:00</dcterms:created>
  <dcterms:modified xsi:type="dcterms:W3CDTF">2025-10-28T06:33:52+00:00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