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Conditions for Technology Enhanced Learning and Educational Change: a case study of a 1:1 initiative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Case study</w:t>
      </w:r>
    </w:p>
    <w:p>
      <w:pPr>
        <w:numPr>
          <w:ilvl w:val="0"/>
          <w:numId w:val="5"/>
        </w:numPr>
      </w:pPr>
      <w:r>
        <w:rPr/>
        <w:t xml:space="preserve">Ethnography / participant observation</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Teachers / Educators</w:t>
      </w:r>
    </w:p>
    <w:p>
      <w:pPr>
        <w:numPr>
          <w:ilvl w:val="0"/>
          <w:numId w:val="5"/>
        </w:numPr>
      </w:pPr>
      <w:r>
        <w:rPr/>
        <w:t xml:space="preserve">Schools (Institutions)</w:t>
      </w:r>
    </w:p>
    <w:p>
      <w:pPr>
        <w:pStyle w:val="Heading2"/>
      </w:pPr>
      <w:bookmarkStart w:id="8" w:name="_Toc9"/>
      <w:r>
        <w:t>Children Ages</w:t>
      </w:r>
      <w:bookmarkEnd w:id="8"/>
    </w:p>
    <w:p>
      <w:pPr>
        <w:pStyle w:val="Heading2"/>
      </w:pPr>
      <w:bookmarkStart w:id="9" w:name="_Toc10"/>
      <w:r>
        <w:t>Funder</w:t>
      </w:r>
      <w:bookmarkEnd w:id="9"/>
    </w:p>
    <w:p>
      <w:pPr/>
      <w:r>
        <w:rPr/>
        <w:t xml:space="preserve">City of Umeå; Umeå University</w:t>
      </w:r>
    </w:p>
    <w:p>
      <w:pPr>
        <w:pStyle w:val="Heading2"/>
      </w:pPr>
      <w:bookmarkStart w:id="10" w:name="_Toc11"/>
      <w:r>
        <w:t>Funder Types</w:t>
      </w:r>
      <w:bookmarkEnd w:id="10"/>
    </w:p>
    <w:p>
      <w:pPr>
        <w:pStyle w:val="Heading2"/>
      </w:pPr>
      <w:bookmarkStart w:id="11" w:name="_Toc12"/>
      <w:r>
        <w:t>Other Funder Type</w:t>
      </w:r>
      <w:bookmarkEnd w:id="11"/>
    </w:p>
    <w:p>
      <w:pPr/>
      <w:r>
        <w:rPr/>
        <w:t xml:space="preserve">Municipality</w:t>
      </w:r>
    </w:p>
    <w:p>
      <w:pPr>
        <w:pStyle w:val="Heading2"/>
      </w:pPr>
      <w:bookmarkStart w:id="12" w:name="_Toc13"/>
      <w:r>
        <w:t>Has Formal Ethical Clearance</w:t>
      </w:r>
      <w:bookmarkEnd w:id="12"/>
    </w:p>
    <w:p>
      <w:pPr>
        <w:pStyle w:val="Heading2"/>
      </w:pPr>
      <w:bookmarkStart w:id="13" w:name="_Toc14"/>
      <w:r>
        <w:t>Consents</w:t>
      </w:r>
      <w:bookmarkEnd w:id="13"/>
    </w:p>
    <w:p>
      <w:pPr/>
      <w:r>
        <w:rPr/>
        <w:t xml:space="preserve">Consent obtained from parents</w:t>
      </w:r>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and/or protocol mentioned in the research design</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"[T]he uptake and use of digital technologies is studied from the student, teacher and school leader perspectives in order to through this gain knowledge regarding the conditions for Technology Enhanced Learning (TEL) and educational change in K-12 schools." (Author,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8AF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2025-10-29T05:06:04+00:00</dcterms:created>
  <dcterms:modified xsi:type="dcterms:W3CDTF">2025-10-29T05:06:04+00:00</dcterms:modified>
</cp:coreProperties>
</file>

<file path=docProps/custom.xml><?xml version="1.0" encoding="utf-8"?>
<Properties xmlns="http://schemas.openxmlformats.org/officeDocument/2006/custom-properties" xmlns:vt="http://schemas.openxmlformats.org/officeDocument/2006/docPropsVTypes"/>
</file>