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games pre-schoolers play: parental mediation and examination of educational content</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5-6 years old</w:t>
      </w:r>
    </w:p>
    <w:p>
      <w:pPr>
        <w:pStyle w:val="Heading2"/>
      </w:pPr>
      <w:bookmarkStart w:id="10" w:name="_Toc11"/>
      <w:r>
        <w:t>Consents</w:t>
      </w:r>
      <w:bookmarkEnd w:id="10"/>
    </w:p>
    <w:p>
      <w:pPr/>
      <w:r>
        <w:rPr/>
        <w:t xml:space="preserve">Consent obtained from parents</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not mentioned</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"The aim of this study is to examine mediations of parents who make digital games played by 60–72 months old children accessible, and the contents of the digital games played by children educationally."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2025-10-29T06:09:03+00:00</dcterms:created>
  <dcterms:modified xsi:type="dcterms:W3CDTF">2025-10-29T06:09:03+00:00</dcterms:modified>
</cp:coreProperties>
</file>

<file path=docProps/custom.xml><?xml version="1.0" encoding="utf-8"?>
<Properties xmlns="http://schemas.openxmlformats.org/officeDocument/2006/custom-properties" xmlns:vt="http://schemas.openxmlformats.org/officeDocument/2006/docPropsVTypes"/>
</file>