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The Predictive Effect of Digital Literacy, Self‑Control and Motivation on the Academic Achievement in the Science, Technology and Society Learning Area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10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Informed Consent</w:t></w:r><w:bookmarkEnd w:id="11"/></w:p><w:p><w:pPr/><w:r><w:rPr/><w:t xml:space="preserve">Consent not mentioned</w:t></w:r></w:p><w:p><w:pPr><w:pStyle w:val="Heading2"/></w:pPr><w:bookmarkStart w:id="12" w:name="_Toc13"/><w:r><w:t>Ethics</w:t></w:r><w:bookmarkEnd w:id="12"/></w:p><w:p><w:pPr/><w:r><w:rPr/><w:t xml:space="preserve">Ethical considerations and/or protocol mentioned in the research design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"this study aimed to reveal to what extent digital literacy and selfcontrol skills and the motivation of students predicted the academic achievements of the STS learning area." (Pala & Başıbüyük, 2021, Purpose and Importance section para.1)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2025-10-19T03:50:49+00:00</dcterms:created>
  <dcterms:modified xsi:type="dcterms:W3CDTF">2025-10-19T03:50:49+00:00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