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Duckface/Stoneface – Sociala medier, onlinespel och bildkommunikation bland killar och tjejer i årskurs 4 och 7</w:t>
      </w:r>
    </w:p>
    <w:p>
      <w:pPr>
        <w:pStyle w:val="Title"/>
      </w:pPr>
      <w:r>
        <w:t>Engl. transl.: Duckface/Stoneface: Social media, gaming and visual communication among boys and girls in grades 4 and 7</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Focus group</w:t>
      </w:r>
    </w:p>
    <w:p>
      <w:pPr>
        <w:numPr>
          <w:ilvl w:val="0"/>
          <w:numId w:val="5"/>
        </w:numPr>
      </w:pPr>
      <w:r>
        <w:rPr/>
        <w:t xml:space="preserve">Interview</w:t>
      </w:r>
    </w:p>
    <w:p>
      <w:pPr>
        <w:numPr>
          <w:ilvl w:val="0"/>
          <w:numId w:val="5"/>
        </w:numPr>
      </w:pPr>
      <w:r>
        <w:rPr/>
        <w:t xml:space="preserve">Other</w:t>
      </w:r>
    </w:p>
    <w:p>
      <w:pPr>
        <w:pStyle w:val="Heading2"/>
      </w:pPr>
      <w:bookmarkStart w:id="7" w:name="_Toc9"/>
      <w:r>
        <w:t>Other Methodology</w:t>
      </w:r>
      <w:bookmarkEnd w:id="7"/>
    </w:p>
    <w:p>
      <w:pPr/>
      <w:r>
        <w:rPr/>
        <w:t xml:space="preserve">Workshop</w:t>
      </w:r>
    </w:p>
    <w:p>
      <w:pPr>
        <w:pStyle w:val="Heading2"/>
      </w:pPr>
      <w:bookmarkStart w:id="8" w:name="_Toc10"/>
      <w:r>
        <w:t>Researched Groups</w:t>
      </w:r>
      <w:bookmarkEnd w:id="8"/>
    </w:p>
    <w:p>
      <w:pPr/>
      <w:r>
        <w:rPr/>
        <w:t xml:space="preserve">Children</w:t>
      </w:r>
    </w:p>
    <w:p>
      <w:pPr>
        <w:pStyle w:val="Heading2"/>
      </w:pPr>
      <w:bookmarkStart w:id="9" w:name="_Toc11"/>
      <w:r>
        <w:t>Children Ages</w:t>
      </w:r>
      <w:bookmarkEnd w:id="9"/>
    </w:p>
    <w:p>
      <w:pPr>
        <w:pStyle w:val="Heading2"/>
      </w:pPr>
      <w:bookmarkStart w:id="10" w:name="_Toc12"/>
      <w:r>
        <w:t>Funder</w:t>
      </w:r>
      <w:bookmarkEnd w:id="10"/>
    </w:p>
    <w:p>
      <w:pPr/>
      <w:r>
        <w:rPr/>
        <w:t xml:space="preserve">Statens medieråd – The Swedish Media Council</w:t>
      </w:r>
    </w:p>
    <w:p>
      <w:pPr>
        <w:pStyle w:val="Heading2"/>
      </w:pPr>
      <w:bookmarkStart w:id="11" w:name="_Toc13"/>
      <w:r>
        <w:t>Funder Types</w:t>
      </w:r>
      <w:bookmarkEnd w:id="11"/>
    </w:p>
    <w:p>
      <w:pPr/>
      <w:r>
        <w:rPr/>
        <w:t xml:space="preserve">National Government / Ministry</w:t>
      </w:r>
    </w:p>
    <w:p>
      <w:pPr>
        <w:pStyle w:val="Heading2"/>
      </w:pPr>
      <w:bookmarkStart w:id="12" w:name="_Toc14"/>
      <w:r>
        <w:t>Consents</w:t>
      </w:r>
      <w:bookmarkEnd w:id="12"/>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https://www.argument.se/wp-content/uploads/duckface-stoneface.pdf</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"How boys and girls respectively use social media, games and images online to complement their semiannual statistics on children’s media use. How can this be understood, and how do the children themselves relate to this?" (Forsman 2017, 195)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32C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2025-11-03T07:18:09+00:00</dcterms:created>
  <dcterms:modified xsi:type="dcterms:W3CDTF">2025-11-03T07:18:09+00:00</dcterms:modified>
</cp:coreProperties>
</file>

<file path=docProps/custom.xml><?xml version="1.0" encoding="utf-8"?>
<Properties xmlns="http://schemas.openxmlformats.org/officeDocument/2006/custom-properties" xmlns:vt="http://schemas.openxmlformats.org/officeDocument/2006/docPropsVTypes"/>
</file>