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Paducation – Challenge-based education in a digital environment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2013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Other</w:t>
      </w:r>
    </w:p>
    <w:p>
      <w:pPr>
        <w:pStyle w:val="Heading2"/>
      </w:pPr>
      <w:bookmarkStart w:id="7" w:name="_Toc8"/>
      <w:r>
        <w:t>Other Methodology</w:t>
      </w:r>
      <w:bookmarkEnd w:id="7"/>
    </w:p>
    <w:p>
      <w:pPr/>
      <w:r>
        <w:rPr/>
        <w:t xml:space="preserve">Workshop</w:t>
      </w:r>
    </w:p>
    <w:p>
      <w:pPr>
        <w:pStyle w:val="Heading2"/>
      </w:pPr>
      <w:bookmarkStart w:id="8" w:name="_Toc9"/>
      <w:r>
        <w:t>Researched Groups</w:t>
      </w:r>
      <w:bookmarkEnd w:id="8"/>
    </w:p>
    <w:p>
      <w:pPr/>
      <w:r>
        <w:rPr/>
        <w:t xml:space="preserve">Teachers / Educators</w:t>
      </w:r>
    </w:p>
    <w:p>
      <w:pPr>
        <w:pStyle w:val="Heading2"/>
      </w:pPr>
      <w:bookmarkStart w:id="9" w:name="_Toc10"/>
      <w:r>
        <w:t>Children Ages</w:t>
      </w:r>
      <w:bookmarkEnd w:id="9"/>
    </w:p>
    <w:p>
      <w:pPr/>
      <w:r>
        <w:rPr/>
        <w:t xml:space="preserve">Adolescents (14-18 Years old)</w:t>
      </w:r>
    </w:p>
    <w:p>
      <w:pPr>
        <w:pStyle w:val="Heading2"/>
      </w:pPr>
      <w:bookmarkStart w:id="10" w:name="_Toc11"/>
      <w:r>
        <w:t>Funder</w:t>
      </w:r>
      <w:bookmarkEnd w:id="10"/>
    </w:p>
    <w:p>
      <w:pPr/>
      <w:r>
        <w:rPr/>
        <w:t xml:space="preserve">European Union Lifelong Learning Programme</w:t>
      </w:r>
    </w:p>
    <w:p>
      <w:pPr>
        <w:pStyle w:val="Heading2"/>
      </w:pPr>
      <w:bookmarkStart w:id="11" w:name="_Toc12"/>
      <w:r>
        <w:t>Funder Types</w:t>
      </w:r>
      <w:bookmarkEnd w:id="11"/>
    </w:p>
    <w:p>
      <w:pPr/>
      <w:r>
        <w:rPr/>
        <w:t xml:space="preserve">European Union / Commission</w:t>
      </w:r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not mentioned</w:t>
      </w:r>
    </w:p>
    <w:p>
      <w:pPr>
        <w:pStyle w:val="Heading2"/>
      </w:pPr>
      <w:bookmarkStart w:id="13" w:name="_Toc14"/>
      <w:r>
        <w:t>Ethics</w:t>
      </w:r>
      <w:bookmarkEnd w:id="13"/>
    </w:p>
    <w:p>
      <w:pPr/>
      <w:r>
        <w:rPr/>
        <w:t xml:space="preserve">Ethical considerations not mentioned</w:t>
      </w:r>
    </w:p>
    <w:p>
      <w:pPr>
        <w:pStyle w:val="Heading2"/>
      </w:pPr>
      <w:bookmarkStart w:id="14" w:name="_Toc15"/>
      <w:r>
        <w:t>URL</w:t>
      </w:r>
      <w:bookmarkEnd w:id="14"/>
    </w:p>
    <w:p>
      <w:pPr/>
      <w:r>
        <w:rPr/>
        <w:t xml:space="preserve">https://arhiv.cmepius.si/wp-content/uploads/2014/02/Zbornik-projektov-Comenius-Regio-partnerstva-2013-2015.pdf</w:t>
      </w:r>
    </w:p>
    <w:p>
      <w:pPr>
        <w:pStyle w:val="Heading2"/>
      </w:pPr>
      <w:bookmarkStart w:id="15" w:name="_Toc16"/>
      <w:r>
        <w:t>Data Set Availability</w:t>
      </w:r>
      <w:bookmarkEnd w:id="15"/>
    </w:p>
    <w:p>
      <w:pPr/>
      <w:r>
        <w:rPr/>
        <w:t xml:space="preserve">Not mentioned</w:t>
      </w:r>
    </w:p>
    <w:p>
      <w:pPr>
        <w:pStyle w:val="Heading1"/>
      </w:pPr>
      <w:bookmarkStart w:id="16" w:name="_Toc17"/>
      <w:r>
        <w:t>Goals</w:t>
      </w:r>
      <w:bookmarkEnd w:id="16"/>
    </w:p>
    <w:p>
      <w:pPr/>
      <w:r>
        <w:rPr/>
        <w:t xml:space="preserve">"1. In what ways can iPad be used in preparation, realisa- tion and evaluation of different sequences of teaching in a variety of school subjects?
2. How can practical know how and good practices be ex- changed, disseminated and developed in a collaborative manner in order to reinforce innovative, reflective and excellent teaching?
3. Which are the preconditions, benefits and drawbacks when using iPad (technologically, professionally, per- sonally)?" (M. Forsman 2015, 7)
Goals:  
"To bridge the gap of the digital divide – Teacher training and competence enhancement;
 To Go visual, capturing and measuring reality – Researching the benefit for teaching with digital tools on
tablets;
 To change the way of teaching in a collaborative environment while comparing teaching and grading
systems in Sweden and Germany." (https://arhiv.cmepius.si/wp-content/uploads/2014/02/Zbornik-projektov-Comenius-Regio-partnerstva-2013-2015.pdf, 24)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22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2025-10-22T09:24:02+00:00</dcterms:created>
  <dcterms:modified xsi:type="dcterms:W3CDTF">2025-10-22T09:24:02+00:00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