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Digitala lärmiljöer – likvärdig utbildning med fjärr-och distansundervisning</w:t>
      </w:r>
    </w:p>
    <w:p>
      <w:pPr>
        <w:pStyle w:val="Title"/>
      </w:pPr>
      <w:r>
        <w:t>Engl. transl.: Digital learning environments – equal education through remote and distance teaching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Design-based research (group discussions, written plans, presentations...)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pStyle w:val="Heading2"/>
      </w:pPr>
      <w:bookmarkStart w:id="9" w:name="_Toc11"/>
      <w:r>
        <w:t>Children Ages</w:t>
      </w:r>
      <w:bookmarkEnd w:id="9"/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Eight municipalities and counties in Sweden and Finland.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Other Funder Type</w:t>
      </w:r>
      <w:bookmarkEnd w:id="12"/>
    </w:p>
    <w:p>
      <w:pPr/>
      <w:r>
        <w:rPr/>
        <w:t xml:space="preserve">Municipality</w:t>
      </w:r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https://www.ifous.se/digitala-larmiljoer-likvardig-utbildning-med-fjarr-och-distansundervisning/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To further develop remote and distance education didactics and develop the role of the teacher in digital environments in order to support pupils' learning.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2025-11-04T05:33:14+00:00</dcterms:created>
  <dcterms:modified xsi:type="dcterms:W3CDTF">2025-11-04T05:33:14+00:00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