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Forsøg med Assisteret Fjernundervisning i Folkeskolen (ASSIST)</w:t>
      </w:r>
    </w:p>
    <w:p>
      <w:pPr>
        <w:pStyle w:val="Title"/>
      </w:pPr>
      <w:r>
        <w:t>Engl. transl.: Assisted Distance Teaching in Primary Schools (ASSIST)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Center for Undervisningsudvikling og Digitale Medier;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https://open-tdm.au.dk/blogs/assist/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"The focal point of the research project is so-called assisted distance learning, which means that there will always be a teacher or educator present with the students at the same time as another teacher or resource person teaches virtually in small sequences during the teaching." (quote: from the research project website; "about assist" https://open-tdm.au.dk/blogs/assist/om/)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911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2025-10-30T15:36:59+00:00</dcterms:created>
  <dcterms:modified xsi:type="dcterms:W3CDTF">2025-10-30T15:36:59+00:00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