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Utanför den svarta lådan: Ett utvecklingsarbete om medie- och informationskunnighet i lärarutbildningen på Södertörns högskola</w:t>
      </w:r>
    </w:p>
    <w:p>
      <w:pPr>
        <w:pStyle w:val="Title"/>
      </w:pPr>
      <w:r>
        <w:t>Engl. transl.: Outside the black box: Promoting media and information literacy in teacher training at Södertörn University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Case study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Schools (Institutions)</w:t>
      </w:r>
    </w:p>
    <w:p>
      <w:pPr>
        <w:pStyle w:val="Heading2"/>
      </w:pPr>
      <w:bookmarkStart w:id="8" w:name="_Toc10"/>
      <w:r>
        <w:t>Informed Consent</w:t>
      </w:r>
      <w:bookmarkEnd w:id="8"/>
    </w:p>
    <w:p>
      <w:pPr/>
      <w:r>
        <w:rPr/>
        <w:t xml:space="preserve">No consent needed</w:t>
      </w:r>
    </w:p>
    <w:p>
      <w:pPr>
        <w:pStyle w:val="Heading2"/>
      </w:pPr>
      <w:bookmarkStart w:id="9" w:name="_Toc11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2"/>
      <w:r>
        <w:t>URL</w:t>
      </w:r>
      <w:bookmarkEnd w:id="10"/>
    </w:p>
    <w:p>
      <w:pPr/>
      <w:r>
        <w:rPr/>
        <w:t xml:space="preserve">https://www.diva-portal.org/smash/get/diva2:1452154/FULLTEXT01.pdf</w:t>
      </w:r>
    </w:p>
    <w:p>
      <w:pPr>
        <w:pStyle w:val="Heading2"/>
      </w:pPr>
      <w:bookmarkStart w:id="11" w:name="_Toc13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– How can long-term work with MIL organized in teacher training programmes?
– How can MIL implemented in and integrated into different teaching courses and teacher training programmes?
– How can MIL concretized in a way that captures the complexity of the area the term refers to while enabling and encouraging critical, historicizing perpectives on the digitalization of school?
(trans. from p. 109)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2025-11-03T12:22:44+00:00</dcterms:created>
  <dcterms:modified xsi:type="dcterms:W3CDTF">2025-11-03T12:22:44+00:00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