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Enhanced participation or just another activity?: The social shaping of iPad use for youths with intellectual disabilities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numPr>
          <w:ilvl w:val="0"/>
          <w:numId w:val="5"/>
        </w:numPr>
      </w:pPr>
      <w:r>
        <w:rPr/>
        <w:t xml:space="preserve">Social workers</w:t>
      </w:r>
    </w:p>
    <w:p>
      <w:pPr>
        <w:numPr>
          <w:ilvl w:val="0"/>
          <w:numId w:val="5"/>
        </w:numPr>
      </w:pPr>
      <w:r>
        <w:rPr/>
        <w:t xml:space="preserve">Teachers / Educators</w:t>
      </w:r>
    </w:p>
    <w:p>
      <w:pPr>
        <w:numPr>
          <w:ilvl w:val="0"/>
          <w:numId w:val="5"/>
        </w:numPr>
      </w:pPr>
      <w:r>
        <w:rPr/>
        <w:t xml:space="preserve">Other</w:t>
      </w:r>
    </w:p>
    <w:p>
      <w:pPr>
        <w:pStyle w:val="Heading2"/>
      </w:pPr>
      <w:bookmarkStart w:id="8" w:name="_Toc9"/>
      <w:r>
        <w:t>Other Researched Group</w:t>
      </w:r>
      <w:bookmarkEnd w:id="8"/>
    </w:p>
    <w:p>
      <w:pPr/>
      <w:r>
        <w:rPr/>
        <w:t xml:space="preserve">Other social care workers (nurses assistants)</w:t>
      </w:r>
    </w:p>
    <w:p>
      <w:pPr>
        <w:pStyle w:val="Heading2"/>
      </w:pPr>
      <w:bookmarkStart w:id="9" w:name="_Toc10"/>
      <w:r>
        <w:t>Children Ages</w:t>
      </w:r>
      <w:bookmarkEnd w:id="9"/>
    </w:p>
    <w:p>
      <w:pPr>
        <w:numPr>
          <w:ilvl w:val="0"/>
          <w:numId w:val="5"/>
        </w:numPr>
      </w:pPr>
      <w:r>
        <w:rPr/>
        <w:t xml:space="preserve">Kids (6-10 Years old)</w:t>
      </w:r>
    </w:p>
    <w:p>
      <w:pPr>
        <w:numPr>
          <w:ilvl w:val="0"/>
          <w:numId w:val="5"/>
        </w:numPr>
      </w:pPr>
      <w:r>
        <w:rPr/>
        <w:t xml:space="preserve">Adolescents (14-18 Years old)</w:t>
      </w:r>
    </w:p>
    <w:p>
      <w:pPr>
        <w:numPr>
          <w:ilvl w:val="0"/>
          <w:numId w:val="5"/>
        </w:numPr>
      </w:pPr>
      <w:r>
        <w:rPr/>
        <w:t xml:space="preserve">Pre-adolescents (11-13 Years old)</w:t>
      </w:r>
    </w:p>
    <w:p>
      <w:pPr>
        <w:numPr>
          <w:ilvl w:val="0"/>
          <w:numId w:val="5"/>
        </w:numPr>
      </w:pPr>
      <w:r>
        <w:rPr/>
        <w:t xml:space="preserve">Young adults (19-24 Years old)</w:t>
      </w:r>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https://journals.sagepub.com/doi/pdf/10.1177/1744629520911311</w:t>
      </w:r>
    </w:p>
    <w:p>
      <w:pPr>
        <w:pStyle w:val="Heading1"/>
      </w:pPr>
      <w:bookmarkStart w:id="14" w:name="_Toc15"/>
      <w:r>
        <w:t>Goals</w:t>
      </w:r>
      <w:bookmarkEnd w:id="14"/>
    </w:p>
    <w:p>
      <w:pPr/>
      <w:r>
        <w:rPr/>
        <w:t xml:space="preserve">"The project’s main focui [sic] were: expanding the possibilities for using ICTs in LSS [assisted living] settings; involving members of staff in training; and providing tablet devices for the settings. The intention was to help increase the independence and enhance the participation of children and youths (people up to the age of 30) in LSS [assisted living] settings." (Authors,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4B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2025-11-03T18:12:46+00:00</dcterms:created>
  <dcterms:modified xsi:type="dcterms:W3CDTF">2025-11-03T18:12:46+00:00</dcterms:modified>
</cp:coreProperties>
</file>

<file path=docProps/custom.xml><?xml version="1.0" encoding="utf-8"?>
<Properties xmlns="http://schemas.openxmlformats.org/officeDocument/2006/custom-properties" xmlns:vt="http://schemas.openxmlformats.org/officeDocument/2006/docPropsVTypes"/>
</file>