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Osztáylközösségen belül kortárskapcsolatok offline és online</w:t>
      </w:r>
    </w:p>
    <w:p>
      <w:pPr>
        <w:pStyle w:val="Title"/>
      </w:pPr>
      <w:r>
        <w:t>Engl. transl.: Peer connections in a class offline and online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The publication of the study was funded by a governmental agency.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aim of the study was to map the characteristics of online communication of 3 and 4 graders. The usage patterns of electronic devices was also analyzed so as the characteristics of the respondents' peer connections.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02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2025-11-02T13:48:52+00:00</dcterms:created>
  <dcterms:modified xsi:type="dcterms:W3CDTF">2025-11-02T13:48:52+00:00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