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VIADUKT - Vizuális anyanyelvünk, a digitális technológiák és az új média hatásai a kreatív iparágakra és a társadalomra</w:t>
      </w:r>
    </w:p>
    <w:p>
      <w:pPr>
        <w:pStyle w:val="Title"/>
      </w:pPr>
      <w:r>
        <w:t>Engl. transl.: The impact of our visual language, digital technologies and the new media on creative industries and society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Online quantitative methods (e.g. Online survey)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TAMOP programme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https://www.metropolitan.hu/viadukt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The goal of the project was to generate new basic knowledge on the connection between creative industry, visual language and the usage of digital technologies.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D58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2025-10-30T05:59:24+00:00</dcterms:created>
  <dcterms:modified xsi:type="dcterms:W3CDTF">2025-10-30T05:59:24+00:00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