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ESPAD 2011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European Monitoring Centre for Drugs and Drug Addiction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http://www.espad.org/</w:t>
      </w:r>
    </w:p>
    <w:p>
      <w:pPr>
        <w:pStyle w:val="Heading2"/>
      </w:pPr>
      <w:bookmarkStart w:id="12" w:name="_Toc13"/>
      <w:r>
        <w:t>Data Set Link</w:t>
      </w:r>
      <w:bookmarkEnd w:id="12"/>
    </w:p>
    <w:p>
      <w:pPr/>
      <w:r>
        <w:rPr/>
        <w:t xml:space="preserve">http://www.espad.org/databases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ESPAD's main aim it to collect data on teenagers drug and substance usage. In 2011 a module was also included what was only asked from Hungarian respondents about Problematic Internet Use and Problematic Online Gaming.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2025-11-02T02:19:26+00:00</dcterms:created>
  <dcterms:modified xsi:type="dcterms:W3CDTF">2025-11-02T02:19:26+00:00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