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Ifjúság és digitális kultúra</w:t>
      </w:r>
    </w:p>
    <w:p>
      <w:pPr>
        <w:pStyle w:val="Title"/>
      </w:pPr>
      <w:r>
        <w:t>Engl. transl.: Youth and digital culture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2015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Hungary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Interview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NMHH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Regulator</w:t>
      </w:r>
    </w:p>
    <w:p>
      <w:pPr>
        <w:pStyle w:val="Heading1"/>
      </w:pPr>
      <w:bookmarkStart w:id="11" w:name="_Toc13"/>
      <w:r>
        <w:t>Goals</w:t>
      </w:r>
      <w:bookmarkEnd w:id="11"/>
    </w:p>
    <w:p>
      <w:pPr/>
      <w:r>
        <w:rPr/>
        <w:t xml:space="preserve">Smart phone usage habits and attitudes towards smart phones in the young adolescent age group.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22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2025-10-22T20:29:53+00:00</dcterms:created>
  <dcterms:modified xsi:type="dcterms:W3CDTF">2025-10-22T20:29:53+00:00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